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B8" w:rsidRPr="00401DB8" w:rsidRDefault="00401DB8" w:rsidP="00401DB8">
      <w:pPr>
        <w:tabs>
          <w:tab w:val="left" w:pos="0"/>
        </w:tabs>
        <w:spacing w:after="240" w:line="204" w:lineRule="auto"/>
        <w:contextualSpacing/>
        <w:rPr>
          <w:rFonts w:ascii="Arial" w:eastAsia="Times New Roman" w:hAnsi="Arial" w:cs="Times New Roman"/>
          <w:b/>
          <w:caps/>
          <w:noProof/>
          <w:color w:val="EA560D"/>
          <w:spacing w:val="-15"/>
          <w:sz w:val="52"/>
          <w:szCs w:val="72"/>
          <w:lang w:eastAsia="en-GB"/>
        </w:rPr>
      </w:pPr>
      <w:r>
        <w:rPr>
          <w:rFonts w:ascii="Arial" w:eastAsia="Times New Roman" w:hAnsi="Arial" w:cs="Times New Roman"/>
          <w:b/>
          <w:caps/>
          <w:noProof/>
          <w:color w:val="EA560D"/>
          <w:spacing w:val="-15"/>
          <w:sz w:val="44"/>
          <w:szCs w:val="72"/>
          <w:lang w:eastAsia="en-GB"/>
        </w:rPr>
        <w:t>Making work pay in Supported Accommodation</w:t>
      </w:r>
      <w:r w:rsidRPr="00401DB8">
        <w:rPr>
          <w:rFonts w:ascii="Arial" w:eastAsia="Times New Roman" w:hAnsi="Arial" w:cs="Times New Roman"/>
          <w:b/>
          <w:caps/>
          <w:noProof/>
          <w:color w:val="EA560D"/>
          <w:spacing w:val="-15"/>
          <w:sz w:val="44"/>
          <w:szCs w:val="72"/>
          <w:lang w:eastAsia="en-GB"/>
        </w:rPr>
        <w:t>:</w:t>
      </w:r>
      <w:r w:rsidRPr="00401DB8">
        <w:rPr>
          <w:rFonts w:ascii="Arial" w:eastAsia="Times New Roman" w:hAnsi="Arial" w:cs="Times New Roman"/>
          <w:b/>
          <w:caps/>
          <w:color w:val="EA560D"/>
          <w:spacing w:val="-15"/>
          <w:sz w:val="72"/>
          <w:szCs w:val="72"/>
          <w:lang w:val="en" w:eastAsia="en-GB"/>
        </w:rPr>
        <w:br/>
      </w:r>
      <w:r w:rsidRPr="00401DB8">
        <w:rPr>
          <w:rFonts w:ascii="Arial" w:eastAsia="Times New Roman" w:hAnsi="Arial" w:cs="Times New Roman"/>
          <w:b/>
          <w:color w:val="440099"/>
          <w:spacing w:val="-15"/>
          <w:sz w:val="36"/>
          <w:szCs w:val="72"/>
          <w:lang w:val="en" w:eastAsia="en-GB"/>
        </w:rPr>
        <w:t xml:space="preserve">Analysis of the relationship between work and </w:t>
      </w:r>
      <w:r>
        <w:rPr>
          <w:rFonts w:ascii="Arial" w:eastAsia="Times New Roman" w:hAnsi="Arial" w:cs="Times New Roman"/>
          <w:b/>
          <w:color w:val="440099"/>
          <w:spacing w:val="-15"/>
          <w:sz w:val="36"/>
          <w:szCs w:val="72"/>
          <w:lang w:val="en" w:eastAsia="en-GB"/>
        </w:rPr>
        <w:t>Housing Benefit</w:t>
      </w:r>
      <w:r w:rsidRPr="00401DB8">
        <w:rPr>
          <w:rFonts w:ascii="Arial" w:eastAsia="Times New Roman" w:hAnsi="Arial" w:cs="Times New Roman"/>
          <w:b/>
          <w:color w:val="440099"/>
          <w:spacing w:val="-15"/>
          <w:sz w:val="36"/>
          <w:szCs w:val="72"/>
          <w:lang w:val="en" w:eastAsia="en-GB"/>
        </w:rPr>
        <w:t xml:space="preserve"> in supported accommodation</w:t>
      </w:r>
    </w:p>
    <w:p w:rsidR="00401DB8" w:rsidRDefault="00401DB8" w:rsidP="00401DB8">
      <w:pPr>
        <w:spacing w:after="0" w:line="240" w:lineRule="auto"/>
        <w:jc w:val="both"/>
        <w:rPr>
          <w:rFonts w:ascii="Arial" w:hAnsi="Arial" w:cs="Arial"/>
        </w:rPr>
      </w:pPr>
    </w:p>
    <w:p w:rsidR="00401DB8" w:rsidRPr="00952159" w:rsidRDefault="00401DB8" w:rsidP="00401DB8">
      <w:pPr>
        <w:spacing w:after="0" w:line="240" w:lineRule="auto"/>
        <w:jc w:val="both"/>
        <w:rPr>
          <w:rFonts w:ascii="Arial" w:hAnsi="Arial" w:cs="Arial"/>
        </w:rPr>
      </w:pPr>
      <w:r>
        <w:rPr>
          <w:rFonts w:ascii="Arial" w:hAnsi="Arial" w:cs="Arial"/>
        </w:rPr>
        <w:t>For young people l</w:t>
      </w:r>
      <w:r w:rsidRPr="00952159">
        <w:rPr>
          <w:rFonts w:ascii="Arial" w:hAnsi="Arial" w:cs="Arial"/>
        </w:rPr>
        <w:t xml:space="preserve">iving in supported accommodation, access to employment can be a critical step in their journey to independence. </w:t>
      </w:r>
    </w:p>
    <w:p w:rsidR="00401DB8" w:rsidRPr="00952159" w:rsidRDefault="00401DB8" w:rsidP="00401DB8">
      <w:pPr>
        <w:spacing w:after="0" w:line="240" w:lineRule="auto"/>
        <w:jc w:val="both"/>
        <w:rPr>
          <w:rFonts w:ascii="Arial" w:hAnsi="Arial" w:cs="Arial"/>
        </w:rPr>
      </w:pPr>
    </w:p>
    <w:p w:rsidR="00401DB8" w:rsidRDefault="00401DB8" w:rsidP="00401DB8">
      <w:pPr>
        <w:spacing w:after="0" w:line="240" w:lineRule="auto"/>
        <w:jc w:val="both"/>
        <w:rPr>
          <w:rFonts w:ascii="Arial" w:hAnsi="Arial" w:cs="Arial"/>
        </w:rPr>
      </w:pPr>
      <w:r w:rsidRPr="00952159">
        <w:rPr>
          <w:rFonts w:ascii="Arial" w:hAnsi="Arial" w:cs="Arial"/>
        </w:rPr>
        <w:t xml:space="preserve">However, complicated benefits rules for people </w:t>
      </w:r>
      <w:r>
        <w:rPr>
          <w:rFonts w:ascii="Arial" w:hAnsi="Arial" w:cs="Arial"/>
        </w:rPr>
        <w:t xml:space="preserve">living </w:t>
      </w:r>
      <w:r w:rsidRPr="00952159">
        <w:rPr>
          <w:rFonts w:ascii="Arial" w:hAnsi="Arial" w:cs="Arial"/>
        </w:rPr>
        <w:t>in supported accommodation can mean that taking on more than minimal hours at work can drastically reduce the</w:t>
      </w:r>
      <w:r w:rsidR="00E5658B">
        <w:rPr>
          <w:rFonts w:ascii="Arial" w:hAnsi="Arial" w:cs="Arial"/>
        </w:rPr>
        <w:t xml:space="preserve"> amount of Housing Benefit </w:t>
      </w:r>
      <w:r>
        <w:rPr>
          <w:rFonts w:ascii="Arial" w:hAnsi="Arial" w:cs="Arial"/>
        </w:rPr>
        <w:t>to which</w:t>
      </w:r>
      <w:r w:rsidRPr="00952159">
        <w:rPr>
          <w:rFonts w:ascii="Arial" w:hAnsi="Arial" w:cs="Arial"/>
        </w:rPr>
        <w:t xml:space="preserve"> they are entitled. This can quickly </w:t>
      </w:r>
      <w:r>
        <w:rPr>
          <w:rFonts w:ascii="Arial" w:hAnsi="Arial" w:cs="Arial"/>
        </w:rPr>
        <w:t xml:space="preserve">reduce their </w:t>
      </w:r>
      <w:r w:rsidRPr="00952159">
        <w:rPr>
          <w:rFonts w:ascii="Arial" w:hAnsi="Arial" w:cs="Arial"/>
        </w:rPr>
        <w:t>overall income</w:t>
      </w:r>
      <w:r>
        <w:rPr>
          <w:rFonts w:ascii="Arial" w:hAnsi="Arial" w:cs="Arial"/>
        </w:rPr>
        <w:t>, putting them at risk of</w:t>
      </w:r>
      <w:r w:rsidRPr="00952159">
        <w:rPr>
          <w:rFonts w:ascii="Arial" w:hAnsi="Arial" w:cs="Arial"/>
        </w:rPr>
        <w:t xml:space="preserve"> rent arrears and debt, and </w:t>
      </w:r>
      <w:r>
        <w:rPr>
          <w:rFonts w:ascii="Arial" w:hAnsi="Arial" w:cs="Arial"/>
        </w:rPr>
        <w:t>impacting on their capacity to move on from supported accommodation</w:t>
      </w:r>
      <w:r w:rsidRPr="00952159">
        <w:rPr>
          <w:rFonts w:ascii="Arial" w:hAnsi="Arial" w:cs="Arial"/>
        </w:rPr>
        <w:t>.</w:t>
      </w:r>
    </w:p>
    <w:p w:rsidR="009B053E" w:rsidRDefault="009B053E" w:rsidP="00401DB8">
      <w:pPr>
        <w:spacing w:after="0" w:line="240" w:lineRule="auto"/>
        <w:jc w:val="both"/>
        <w:rPr>
          <w:rFonts w:ascii="Arial" w:hAnsi="Arial" w:cs="Arial"/>
        </w:rPr>
      </w:pPr>
    </w:p>
    <w:p w:rsidR="009B053E" w:rsidRDefault="009B053E" w:rsidP="00401DB8">
      <w:pPr>
        <w:spacing w:after="0" w:line="240" w:lineRule="auto"/>
        <w:jc w:val="both"/>
        <w:rPr>
          <w:rFonts w:ascii="Arial" w:hAnsi="Arial" w:cs="Arial"/>
        </w:rPr>
      </w:pPr>
      <w:r>
        <w:rPr>
          <w:rFonts w:ascii="Arial" w:hAnsi="Arial" w:cs="Arial"/>
        </w:rPr>
        <w:t>In this paper, we outline how the benefits system discourages young people living in supported accommodation from accessing work, and highlight how the Government can address this issue and promote employment. Moreover, we show that the Government could ultimately save millions by removing barriers to work and encouraging young people to transition away from benefits.</w:t>
      </w:r>
    </w:p>
    <w:p w:rsidR="009B053E" w:rsidRDefault="009B053E" w:rsidP="009B053E">
      <w:pPr>
        <w:spacing w:after="0" w:line="240" w:lineRule="auto"/>
        <w:jc w:val="both"/>
        <w:rPr>
          <w:rFonts w:ascii="Arial" w:hAnsi="Arial" w:cs="Arial"/>
        </w:rPr>
      </w:pPr>
    </w:p>
    <w:p w:rsidR="00401DB8" w:rsidRPr="009B053E" w:rsidRDefault="00401DB8" w:rsidP="009B053E">
      <w:pPr>
        <w:spacing w:after="0" w:line="240" w:lineRule="auto"/>
        <w:jc w:val="both"/>
        <w:rPr>
          <w:rFonts w:ascii="Arial" w:hAnsi="Arial" w:cs="Arial"/>
        </w:rPr>
      </w:pPr>
      <w:r w:rsidRPr="00401DB8">
        <w:rPr>
          <w:rFonts w:ascii="Arial" w:eastAsia="Times New Roman" w:hAnsi="Arial" w:cs="Times New Roman"/>
          <w:b/>
          <w:color w:val="440099"/>
          <w:sz w:val="28"/>
          <w:szCs w:val="32"/>
          <w:lang w:val="en" w:eastAsia="en-GB"/>
        </w:rPr>
        <w:t xml:space="preserve">Policy </w:t>
      </w:r>
      <w:r>
        <w:rPr>
          <w:rFonts w:ascii="Arial" w:eastAsia="Times New Roman" w:hAnsi="Arial" w:cs="Times New Roman"/>
          <w:b/>
          <w:color w:val="440099"/>
          <w:sz w:val="28"/>
          <w:szCs w:val="32"/>
          <w:lang w:val="en" w:eastAsia="en-GB"/>
        </w:rPr>
        <w:t>Context</w:t>
      </w:r>
    </w:p>
    <w:p w:rsidR="00401DB8" w:rsidRPr="008113AF" w:rsidRDefault="00401DB8" w:rsidP="00401DB8">
      <w:pPr>
        <w:spacing w:after="0" w:line="240" w:lineRule="auto"/>
        <w:jc w:val="both"/>
        <w:rPr>
          <w:rFonts w:ascii="Arial" w:hAnsi="Arial" w:cs="Arial"/>
        </w:rPr>
      </w:pPr>
      <w:r w:rsidRPr="008113AF">
        <w:rPr>
          <w:rFonts w:ascii="Arial" w:hAnsi="Arial" w:cs="Arial"/>
        </w:rPr>
        <w:t>In our recent report, “Human costs and lost potential: the real cost of youth homelessness”, Centrepoint found that the UK economy loses £8.5 billion every year because of youth homelessness.</w:t>
      </w:r>
      <w:r>
        <w:rPr>
          <w:rStyle w:val="FootnoteReference"/>
          <w:rFonts w:ascii="Arial" w:hAnsi="Arial" w:cs="Arial"/>
        </w:rPr>
        <w:footnoteReference w:id="1"/>
      </w:r>
      <w:r w:rsidRPr="008113AF">
        <w:rPr>
          <w:rFonts w:ascii="Arial" w:hAnsi="Arial" w:cs="Arial"/>
        </w:rPr>
        <w:t xml:space="preserve"> Around 70 per cent of this total comes from challenges in accessing employment for young people facing homelessness – with almost £5.5 billion attributed to short term loss due to economic inactivity and £0.5 billion to lags in productivity over time. However, direct costs for government are also significant, including £473 million spent on social security. There is, therefore, a significant imperative for the Government to reduce barriers to employment for young people experiencing homelessness.</w:t>
      </w:r>
    </w:p>
    <w:p w:rsidR="00401DB8" w:rsidRPr="008113AF" w:rsidRDefault="00401DB8" w:rsidP="00401DB8">
      <w:pPr>
        <w:spacing w:after="0" w:line="240" w:lineRule="auto"/>
        <w:jc w:val="both"/>
        <w:rPr>
          <w:rFonts w:ascii="Arial" w:hAnsi="Arial" w:cs="Arial"/>
        </w:rPr>
      </w:pPr>
    </w:p>
    <w:p w:rsidR="00401DB8" w:rsidRPr="00E5658B" w:rsidRDefault="00401DB8" w:rsidP="00401DB8">
      <w:pPr>
        <w:spacing w:after="0" w:line="240" w:lineRule="auto"/>
        <w:jc w:val="both"/>
        <w:rPr>
          <w:rFonts w:ascii="Arial" w:hAnsi="Arial" w:cs="Arial"/>
          <w:b/>
        </w:rPr>
      </w:pPr>
      <w:r>
        <w:rPr>
          <w:rFonts w:ascii="Arial" w:hAnsi="Arial" w:cs="Arial"/>
        </w:rPr>
        <w:t xml:space="preserve">However, </w:t>
      </w:r>
      <w:r w:rsidRPr="008113AF">
        <w:rPr>
          <w:rFonts w:ascii="Arial" w:hAnsi="Arial" w:cs="Arial"/>
        </w:rPr>
        <w:t xml:space="preserve">complicated benefits rules for young people in supported accommodation can mean that accessing employment or taking on more than minimal hours at work can put them at risk of arrears and potential eviction. Young people living in supported accommodation receive </w:t>
      </w:r>
      <w:r w:rsidR="00E5658B" w:rsidRPr="00E5658B">
        <w:rPr>
          <w:rFonts w:ascii="Arial" w:hAnsi="Arial" w:cs="Arial"/>
        </w:rPr>
        <w:t>Housing Benefit (HB)</w:t>
      </w:r>
      <w:r w:rsidR="00E5658B">
        <w:rPr>
          <w:rFonts w:ascii="Arial" w:hAnsi="Arial" w:cs="Arial"/>
        </w:rPr>
        <w:t xml:space="preserve"> </w:t>
      </w:r>
      <w:r w:rsidRPr="008113AF">
        <w:rPr>
          <w:rFonts w:ascii="Arial" w:hAnsi="Arial" w:cs="Arial"/>
        </w:rPr>
        <w:t xml:space="preserve">to pay their rent. This is in contrast to people living in the private rental sector, who are not entitled to HB but may receive the housing element of Universal Credit (UC) for their housing costs. As both HB and UC have tapers for working people, this means that young people living in supported accommodation who work or want to work face having their benefit entitlements subjected to two tapers, which can seriously impact on their ability to pay high rates of rent while living in supported accommodation. </w:t>
      </w:r>
      <w:r w:rsidRPr="00E5658B">
        <w:rPr>
          <w:rFonts w:ascii="Arial" w:hAnsi="Arial" w:cs="Arial"/>
          <w:b/>
        </w:rPr>
        <w:t xml:space="preserve">This dynamic disincentives young people from working above a certain number of hours (e.g. over 11 for a 21+ year old) or, in some cases, working at all. </w:t>
      </w:r>
    </w:p>
    <w:p w:rsidR="00401DB8" w:rsidRDefault="00401DB8" w:rsidP="00401DB8">
      <w:pPr>
        <w:spacing w:after="0" w:line="240" w:lineRule="auto"/>
        <w:jc w:val="both"/>
        <w:rPr>
          <w:rFonts w:ascii="Arial" w:hAnsi="Arial" w:cs="Arial"/>
          <w:b/>
          <w:u w:val="single"/>
        </w:rPr>
      </w:pPr>
    </w:p>
    <w:p w:rsidR="00401DB8" w:rsidRPr="008113AF" w:rsidRDefault="00401DB8" w:rsidP="00401DB8">
      <w:pPr>
        <w:pBdr>
          <w:top w:val="nil"/>
          <w:left w:val="nil"/>
          <w:bottom w:val="nil"/>
          <w:right w:val="nil"/>
          <w:between w:val="nil"/>
        </w:pBdr>
        <w:spacing w:after="0" w:line="276" w:lineRule="auto"/>
        <w:jc w:val="both"/>
        <w:rPr>
          <w:rFonts w:ascii="Arial" w:eastAsia="Arial" w:hAnsi="Arial" w:cs="Arial"/>
          <w:color w:val="000000"/>
        </w:rPr>
      </w:pPr>
      <w:r w:rsidRPr="008113AF">
        <w:rPr>
          <w:rFonts w:ascii="Arial" w:eastAsia="Arial" w:hAnsi="Arial" w:cs="Arial"/>
          <w:color w:val="000000"/>
        </w:rPr>
        <w:t xml:space="preserve">Young people living in supported accommodation typically claim both </w:t>
      </w:r>
      <w:r>
        <w:rPr>
          <w:rFonts w:ascii="Arial" w:eastAsia="Arial" w:hAnsi="Arial" w:cs="Arial"/>
          <w:color w:val="000000"/>
        </w:rPr>
        <w:t>UC</w:t>
      </w:r>
      <w:r w:rsidRPr="008113AF">
        <w:rPr>
          <w:rFonts w:ascii="Arial" w:eastAsia="Arial" w:hAnsi="Arial" w:cs="Arial"/>
          <w:color w:val="000000"/>
        </w:rPr>
        <w:t xml:space="preserve">, for living costs, and </w:t>
      </w:r>
      <w:r>
        <w:rPr>
          <w:rFonts w:ascii="Arial" w:eastAsia="Arial" w:hAnsi="Arial" w:cs="Arial"/>
          <w:color w:val="000000"/>
        </w:rPr>
        <w:t>HB</w:t>
      </w:r>
      <w:r w:rsidRPr="008113AF">
        <w:rPr>
          <w:rFonts w:ascii="Arial" w:eastAsia="Arial" w:hAnsi="Arial" w:cs="Arial"/>
          <w:color w:val="000000"/>
        </w:rPr>
        <w:t>, to cover their rent. Both these benefits are subject to taper rates.</w:t>
      </w:r>
      <w:r w:rsidR="008B0960">
        <w:rPr>
          <w:rStyle w:val="FootnoteReference"/>
          <w:rFonts w:ascii="Arial" w:eastAsia="Arial" w:hAnsi="Arial" w:cs="Arial"/>
          <w:color w:val="000000"/>
        </w:rPr>
        <w:footnoteReference w:id="2"/>
      </w:r>
      <w:r>
        <w:rPr>
          <w:rFonts w:ascii="Arial" w:eastAsia="Arial" w:hAnsi="Arial" w:cs="Arial"/>
          <w:color w:val="000000"/>
        </w:rPr>
        <w:t xml:space="preserve"> </w:t>
      </w:r>
      <w:r w:rsidRPr="008113AF">
        <w:rPr>
          <w:rFonts w:ascii="Arial" w:eastAsia="Arial" w:hAnsi="Arial" w:cs="Arial"/>
          <w:color w:val="000000"/>
        </w:rPr>
        <w:t xml:space="preserve">When </w:t>
      </w:r>
      <w:r>
        <w:rPr>
          <w:rFonts w:ascii="Arial" w:eastAsia="Arial" w:hAnsi="Arial" w:cs="Arial"/>
          <w:color w:val="000000"/>
        </w:rPr>
        <w:t>these young people start</w:t>
      </w:r>
      <w:r w:rsidRPr="008113AF">
        <w:rPr>
          <w:rFonts w:ascii="Arial" w:eastAsia="Arial" w:hAnsi="Arial" w:cs="Arial"/>
          <w:color w:val="000000"/>
        </w:rPr>
        <w:t xml:space="preserve"> work</w:t>
      </w:r>
      <w:r>
        <w:rPr>
          <w:rFonts w:ascii="Arial" w:eastAsia="Arial" w:hAnsi="Arial" w:cs="Arial"/>
          <w:color w:val="000000"/>
        </w:rPr>
        <w:t>ing</w:t>
      </w:r>
      <w:r w:rsidRPr="008113AF">
        <w:rPr>
          <w:rFonts w:ascii="Arial" w:eastAsia="Arial" w:hAnsi="Arial" w:cs="Arial"/>
          <w:color w:val="000000"/>
        </w:rPr>
        <w:t xml:space="preserve">, </w:t>
      </w:r>
      <w:r>
        <w:rPr>
          <w:rFonts w:ascii="Arial" w:eastAsia="Arial" w:hAnsi="Arial" w:cs="Arial"/>
          <w:color w:val="000000"/>
        </w:rPr>
        <w:t>a</w:t>
      </w:r>
      <w:r w:rsidR="00E5658B">
        <w:rPr>
          <w:rFonts w:ascii="Arial" w:eastAsia="Arial" w:hAnsi="Arial" w:cs="Arial"/>
          <w:color w:val="000000"/>
        </w:rPr>
        <w:t xml:space="preserve"> 55 per cent</w:t>
      </w:r>
      <w:r w:rsidRPr="008113AF">
        <w:rPr>
          <w:rFonts w:ascii="Arial" w:eastAsia="Arial" w:hAnsi="Arial" w:cs="Arial"/>
          <w:color w:val="000000"/>
        </w:rPr>
        <w:t xml:space="preserve"> taper is applied to their </w:t>
      </w:r>
      <w:r>
        <w:rPr>
          <w:rFonts w:ascii="Arial" w:eastAsia="Arial" w:hAnsi="Arial" w:cs="Arial"/>
          <w:color w:val="000000"/>
        </w:rPr>
        <w:t>UC</w:t>
      </w:r>
      <w:r w:rsidRPr="008113AF">
        <w:rPr>
          <w:rFonts w:ascii="Arial" w:eastAsia="Arial" w:hAnsi="Arial" w:cs="Arial"/>
          <w:color w:val="000000"/>
        </w:rPr>
        <w:t xml:space="preserve"> entitlement. This means that</w:t>
      </w:r>
      <w:r>
        <w:rPr>
          <w:rFonts w:ascii="Arial" w:eastAsia="Arial" w:hAnsi="Arial" w:cs="Arial"/>
          <w:color w:val="000000"/>
        </w:rPr>
        <w:t xml:space="preserve"> </w:t>
      </w:r>
      <w:r w:rsidRPr="008113AF">
        <w:rPr>
          <w:rFonts w:ascii="Arial" w:eastAsia="Arial" w:hAnsi="Arial" w:cs="Arial"/>
          <w:color w:val="000000"/>
        </w:rPr>
        <w:t>so</w:t>
      </w:r>
      <w:r>
        <w:rPr>
          <w:rFonts w:ascii="Arial" w:eastAsia="Arial" w:hAnsi="Arial" w:cs="Arial"/>
          <w:color w:val="000000"/>
        </w:rPr>
        <w:t>meone receiving UC</w:t>
      </w:r>
      <w:r w:rsidRPr="008113AF">
        <w:rPr>
          <w:rFonts w:ascii="Arial" w:eastAsia="Arial" w:hAnsi="Arial" w:cs="Arial"/>
          <w:color w:val="000000"/>
        </w:rPr>
        <w:t xml:space="preserve"> who goes from being unemployed to working ten hours per week at </w:t>
      </w:r>
      <w:r>
        <w:rPr>
          <w:rFonts w:ascii="Arial" w:eastAsia="Arial" w:hAnsi="Arial" w:cs="Arial"/>
          <w:color w:val="000000"/>
        </w:rPr>
        <w:t xml:space="preserve">£10 an hour (or £100 per week) </w:t>
      </w:r>
      <w:r w:rsidRPr="008113AF">
        <w:rPr>
          <w:rFonts w:ascii="Arial" w:eastAsia="Arial" w:hAnsi="Arial" w:cs="Arial"/>
          <w:color w:val="000000"/>
        </w:rPr>
        <w:t>w</w:t>
      </w:r>
      <w:r>
        <w:rPr>
          <w:rFonts w:ascii="Arial" w:eastAsia="Arial" w:hAnsi="Arial" w:cs="Arial"/>
          <w:color w:val="000000"/>
        </w:rPr>
        <w:t>ill lose £55 of UC</w:t>
      </w:r>
      <w:r w:rsidRPr="008113AF">
        <w:rPr>
          <w:rFonts w:ascii="Arial" w:eastAsia="Arial" w:hAnsi="Arial" w:cs="Arial"/>
          <w:color w:val="000000"/>
        </w:rPr>
        <w:t xml:space="preserve"> entitlement each week—therefore implicitly </w:t>
      </w:r>
      <w:r w:rsidRPr="008113AF">
        <w:rPr>
          <w:rFonts w:ascii="Arial" w:eastAsia="Arial" w:hAnsi="Arial" w:cs="Arial"/>
          <w:color w:val="000000"/>
        </w:rPr>
        <w:lastRenderedPageBreak/>
        <w:t>facing a marginal effective tax rate</w:t>
      </w:r>
      <w:r>
        <w:rPr>
          <w:rFonts w:ascii="Arial" w:eastAsia="Arial" w:hAnsi="Arial" w:cs="Arial"/>
          <w:color w:val="000000"/>
        </w:rPr>
        <w:t xml:space="preserve"> (METR)</w:t>
      </w:r>
      <w:r w:rsidR="00E5658B">
        <w:rPr>
          <w:rFonts w:ascii="Arial" w:eastAsia="Arial" w:hAnsi="Arial" w:cs="Arial"/>
          <w:color w:val="000000"/>
        </w:rPr>
        <w:t xml:space="preserve"> of 55 per cent</w:t>
      </w:r>
      <w:r w:rsidRPr="008113AF">
        <w:rPr>
          <w:rFonts w:ascii="Arial" w:eastAsia="Arial" w:hAnsi="Arial" w:cs="Arial"/>
          <w:color w:val="000000"/>
        </w:rPr>
        <w:t>.</w:t>
      </w:r>
      <w:r w:rsidR="009C63A7">
        <w:rPr>
          <w:rStyle w:val="FootnoteReference"/>
          <w:rFonts w:ascii="Arial" w:eastAsia="Arial" w:hAnsi="Arial" w:cs="Arial"/>
          <w:color w:val="000000"/>
        </w:rPr>
        <w:footnoteReference w:id="3"/>
      </w:r>
      <w:r w:rsidRPr="008113AF">
        <w:rPr>
          <w:rFonts w:ascii="Arial" w:eastAsia="Arial" w:hAnsi="Arial" w:cs="Arial"/>
          <w:color w:val="000000"/>
        </w:rPr>
        <w:t xml:space="preserve"> While there is still some UC entitlement, </w:t>
      </w:r>
      <w:r>
        <w:rPr>
          <w:rFonts w:ascii="Arial" w:eastAsia="Arial" w:hAnsi="Arial" w:cs="Arial"/>
          <w:color w:val="000000"/>
        </w:rPr>
        <w:t>HB</w:t>
      </w:r>
      <w:r w:rsidRPr="008113AF">
        <w:rPr>
          <w:rFonts w:ascii="Arial" w:eastAsia="Arial" w:hAnsi="Arial" w:cs="Arial"/>
          <w:color w:val="000000"/>
        </w:rPr>
        <w:t xml:space="preserve"> covers Supported Accommodation rent in full.</w:t>
      </w:r>
      <w:r w:rsidR="00E5658B">
        <w:rPr>
          <w:rStyle w:val="FootnoteReference"/>
          <w:rFonts w:ascii="Arial" w:eastAsia="Arial" w:hAnsi="Arial" w:cs="Arial"/>
          <w:color w:val="000000"/>
        </w:rPr>
        <w:footnoteReference w:id="4"/>
      </w:r>
      <w:r w:rsidRPr="008113AF">
        <w:rPr>
          <w:rFonts w:ascii="Arial" w:eastAsia="Arial" w:hAnsi="Arial" w:cs="Arial"/>
          <w:color w:val="000000"/>
        </w:rPr>
        <w:t xml:space="preserve"> This is essential for young people living in supported accommodation, as the rents in supported accommodation are high.  </w:t>
      </w:r>
    </w:p>
    <w:p w:rsidR="00401DB8" w:rsidRPr="008113AF" w:rsidRDefault="00401DB8" w:rsidP="00401DB8">
      <w:pPr>
        <w:pBdr>
          <w:top w:val="nil"/>
          <w:left w:val="nil"/>
          <w:bottom w:val="nil"/>
          <w:right w:val="nil"/>
          <w:between w:val="nil"/>
        </w:pBdr>
        <w:spacing w:after="0" w:line="276" w:lineRule="auto"/>
        <w:jc w:val="both"/>
        <w:rPr>
          <w:rFonts w:ascii="Arial" w:eastAsia="Arial" w:hAnsi="Arial" w:cs="Arial"/>
          <w:color w:val="000000"/>
        </w:rPr>
      </w:pPr>
    </w:p>
    <w:p w:rsidR="00401DB8" w:rsidRPr="008113AF" w:rsidRDefault="00401DB8" w:rsidP="00401DB8">
      <w:pPr>
        <w:pBdr>
          <w:top w:val="nil"/>
          <w:left w:val="nil"/>
          <w:bottom w:val="nil"/>
          <w:right w:val="nil"/>
          <w:between w:val="nil"/>
        </w:pBdr>
        <w:spacing w:after="0" w:line="276" w:lineRule="auto"/>
        <w:jc w:val="both"/>
        <w:rPr>
          <w:rFonts w:ascii="Arial" w:eastAsia="Arial" w:hAnsi="Arial" w:cs="Arial"/>
          <w:color w:val="000000"/>
        </w:rPr>
      </w:pPr>
      <w:r w:rsidRPr="008113AF">
        <w:rPr>
          <w:rFonts w:ascii="Arial" w:eastAsia="Arial" w:hAnsi="Arial" w:cs="Arial"/>
          <w:color w:val="000000"/>
        </w:rPr>
        <w:t xml:space="preserve">When a </w:t>
      </w:r>
      <w:r>
        <w:rPr>
          <w:rFonts w:ascii="Arial" w:eastAsia="Arial" w:hAnsi="Arial" w:cs="Arial"/>
          <w:color w:val="000000"/>
        </w:rPr>
        <w:t xml:space="preserve">21 year old receiving the minimum wage earns more than £137.28 per week (equivalent to 12 hours of work) – this is £137.60 or </w:t>
      </w:r>
      <w:r w:rsidRPr="008113AF">
        <w:rPr>
          <w:rFonts w:ascii="Arial" w:eastAsia="Arial" w:hAnsi="Arial" w:cs="Arial"/>
          <w:color w:val="000000"/>
        </w:rPr>
        <w:t xml:space="preserve">16 hours </w:t>
      </w:r>
      <w:r>
        <w:rPr>
          <w:rFonts w:ascii="Arial" w:eastAsia="Arial" w:hAnsi="Arial" w:cs="Arial"/>
          <w:color w:val="000000"/>
        </w:rPr>
        <w:t>for an</w:t>
      </w:r>
      <w:r w:rsidRPr="008113AF">
        <w:rPr>
          <w:rFonts w:ascii="Arial" w:eastAsia="Arial" w:hAnsi="Arial" w:cs="Arial"/>
          <w:color w:val="000000"/>
        </w:rPr>
        <w:t xml:space="preserve"> 18-20-year-old or</w:t>
      </w:r>
      <w:r>
        <w:rPr>
          <w:rFonts w:ascii="Arial" w:eastAsia="Arial" w:hAnsi="Arial" w:cs="Arial"/>
          <w:color w:val="000000"/>
        </w:rPr>
        <w:t xml:space="preserve"> £134.40 or 21</w:t>
      </w:r>
      <w:r w:rsidRPr="008113AF">
        <w:rPr>
          <w:rFonts w:ascii="Arial" w:eastAsia="Arial" w:hAnsi="Arial" w:cs="Arial"/>
          <w:color w:val="000000"/>
        </w:rPr>
        <w:t xml:space="preserve"> hours for a 16-17-year-old</w:t>
      </w:r>
      <w:r>
        <w:rPr>
          <w:rFonts w:ascii="Arial" w:eastAsia="Arial" w:hAnsi="Arial" w:cs="Arial"/>
          <w:color w:val="000000"/>
        </w:rPr>
        <w:t>/apprentice</w:t>
      </w:r>
      <w:r w:rsidRPr="008113AF">
        <w:rPr>
          <w:rFonts w:ascii="Arial" w:eastAsia="Arial" w:hAnsi="Arial" w:cs="Arial"/>
          <w:color w:val="000000"/>
        </w:rPr>
        <w:t xml:space="preserve"> - their UC will be tapered to nil. </w:t>
      </w:r>
      <w:r>
        <w:rPr>
          <w:rFonts w:ascii="Arial" w:eastAsia="Arial" w:hAnsi="Arial" w:cs="Arial"/>
          <w:color w:val="000000"/>
        </w:rPr>
        <w:t>At this point</w:t>
      </w:r>
      <w:r w:rsidRPr="008113AF">
        <w:rPr>
          <w:rFonts w:ascii="Arial" w:eastAsia="Arial" w:hAnsi="Arial" w:cs="Arial"/>
          <w:color w:val="000000"/>
        </w:rPr>
        <w:t>, the young person’s income is reassessed under the HB rules: meaning that the young person’s HB award will be</w:t>
      </w:r>
      <w:r w:rsidR="00E5658B">
        <w:rPr>
          <w:rFonts w:ascii="Arial" w:eastAsia="Arial" w:hAnsi="Arial" w:cs="Arial"/>
          <w:color w:val="000000"/>
        </w:rPr>
        <w:t xml:space="preserve"> tapered at a higher rate of 65 per cent</w:t>
      </w:r>
      <w:r w:rsidRPr="008113AF">
        <w:rPr>
          <w:rFonts w:ascii="Arial" w:eastAsia="Arial" w:hAnsi="Arial" w:cs="Arial"/>
          <w:color w:val="000000"/>
        </w:rPr>
        <w:t xml:space="preserve"> when their earnings move beyond their applicab</w:t>
      </w:r>
      <w:r>
        <w:rPr>
          <w:rFonts w:ascii="Arial" w:eastAsia="Arial" w:hAnsi="Arial" w:cs="Arial"/>
          <w:color w:val="000000"/>
        </w:rPr>
        <w:t>le amount, minus a £5 disregard -</w:t>
      </w:r>
      <w:r w:rsidRPr="008113AF">
        <w:rPr>
          <w:rFonts w:ascii="Arial" w:eastAsia="Arial" w:hAnsi="Arial" w:cs="Arial"/>
          <w:color w:val="000000"/>
        </w:rPr>
        <w:t xml:space="preserve"> </w:t>
      </w:r>
      <w:r>
        <w:rPr>
          <w:rFonts w:ascii="Arial" w:eastAsia="Arial" w:hAnsi="Arial" w:cs="Arial"/>
          <w:i/>
          <w:color w:val="000000"/>
        </w:rPr>
        <w:t>s</w:t>
      </w:r>
      <w:r w:rsidRPr="0067143A">
        <w:rPr>
          <w:rFonts w:ascii="Arial" w:eastAsia="Arial" w:hAnsi="Arial" w:cs="Arial"/>
          <w:i/>
          <w:color w:val="000000"/>
        </w:rPr>
        <w:t xml:space="preserve">ee </w:t>
      </w:r>
      <w:r w:rsidR="009C63A7">
        <w:rPr>
          <w:rFonts w:ascii="Arial" w:eastAsia="Arial" w:hAnsi="Arial" w:cs="Arial"/>
          <w:i/>
          <w:color w:val="000000"/>
        </w:rPr>
        <w:t>figure 1</w:t>
      </w:r>
      <w:r>
        <w:rPr>
          <w:rFonts w:ascii="Arial" w:eastAsia="Arial" w:hAnsi="Arial" w:cs="Arial"/>
          <w:color w:val="000000"/>
        </w:rPr>
        <w:t>:</w:t>
      </w:r>
    </w:p>
    <w:p w:rsidR="00401DB8" w:rsidRPr="008113AF" w:rsidRDefault="00401DB8" w:rsidP="00401DB8">
      <w:pPr>
        <w:pBdr>
          <w:top w:val="nil"/>
          <w:left w:val="nil"/>
          <w:bottom w:val="nil"/>
          <w:right w:val="nil"/>
          <w:between w:val="nil"/>
        </w:pBdr>
        <w:spacing w:after="0" w:line="276" w:lineRule="auto"/>
        <w:jc w:val="center"/>
        <w:rPr>
          <w:rFonts w:ascii="Arial" w:eastAsia="Arial" w:hAnsi="Arial" w:cs="Arial"/>
          <w:color w:val="000000"/>
        </w:rPr>
      </w:pPr>
    </w:p>
    <w:p w:rsidR="00401DB8" w:rsidRDefault="00401DB8" w:rsidP="00401DB8">
      <w:pPr>
        <w:pBdr>
          <w:top w:val="nil"/>
          <w:left w:val="nil"/>
          <w:bottom w:val="nil"/>
          <w:right w:val="nil"/>
          <w:between w:val="nil"/>
        </w:pBdr>
        <w:spacing w:after="0" w:line="276" w:lineRule="auto"/>
        <w:jc w:val="center"/>
        <w:rPr>
          <w:rFonts w:ascii="Arial" w:eastAsia="Arial" w:hAnsi="Arial" w:cs="Arial"/>
          <w:i/>
          <w:color w:val="000000"/>
        </w:rPr>
      </w:pPr>
      <w:r w:rsidRPr="008113AF">
        <w:rPr>
          <w:rFonts w:ascii="Arial" w:eastAsia="Arial" w:hAnsi="Arial" w:cs="Arial"/>
          <w:i/>
          <w:color w:val="000000"/>
        </w:rPr>
        <w:t xml:space="preserve">HB Entitlement = Full weekly rent – ((Weekly </w:t>
      </w:r>
      <w:r>
        <w:rPr>
          <w:rFonts w:ascii="Arial" w:eastAsia="Arial" w:hAnsi="Arial" w:cs="Arial"/>
          <w:i/>
          <w:color w:val="000000"/>
        </w:rPr>
        <w:t xml:space="preserve">earnings - £5 disregard - </w:t>
      </w:r>
      <w:r w:rsidRPr="008113AF">
        <w:rPr>
          <w:rFonts w:ascii="Arial" w:eastAsia="Arial" w:hAnsi="Arial" w:cs="Arial"/>
          <w:i/>
          <w:color w:val="000000"/>
        </w:rPr>
        <w:t>applicable amount)*0.65)</w:t>
      </w:r>
    </w:p>
    <w:p w:rsidR="009B053E" w:rsidRPr="008113AF" w:rsidRDefault="009B053E" w:rsidP="00401DB8">
      <w:pPr>
        <w:pBdr>
          <w:top w:val="nil"/>
          <w:left w:val="nil"/>
          <w:bottom w:val="nil"/>
          <w:right w:val="nil"/>
          <w:between w:val="nil"/>
        </w:pBdr>
        <w:spacing w:after="0" w:line="276" w:lineRule="auto"/>
        <w:jc w:val="center"/>
        <w:rPr>
          <w:rFonts w:ascii="Arial" w:eastAsia="Arial" w:hAnsi="Arial" w:cs="Arial"/>
          <w:i/>
          <w:color w:val="000000"/>
        </w:rPr>
      </w:pPr>
    </w:p>
    <w:p w:rsidR="00401DB8" w:rsidRPr="00DB0995" w:rsidRDefault="00401DB8" w:rsidP="00401DB8">
      <w:pPr>
        <w:spacing w:after="0" w:line="240" w:lineRule="auto"/>
        <w:jc w:val="center"/>
        <w:rPr>
          <w:rFonts w:ascii="Arial" w:hAnsi="Arial" w:cs="Arial"/>
          <w:b/>
          <w:u w:val="single"/>
        </w:rPr>
      </w:pPr>
      <w:r>
        <w:rPr>
          <w:noProof/>
          <w:lang w:eastAsia="en-GB"/>
        </w:rPr>
        <w:drawing>
          <wp:inline distT="0" distB="0" distL="0" distR="0" wp14:anchorId="49938601" wp14:editId="3B88AF8D">
            <wp:extent cx="4569254" cy="2622550"/>
            <wp:effectExtent l="0" t="0" r="3175" b="6350"/>
            <wp:docPr id="1"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1DB8" w:rsidRPr="009B053E" w:rsidRDefault="00401DB8" w:rsidP="00401DB8">
      <w:pPr>
        <w:pBdr>
          <w:top w:val="nil"/>
          <w:left w:val="nil"/>
          <w:bottom w:val="nil"/>
          <w:right w:val="nil"/>
          <w:between w:val="nil"/>
        </w:pBdr>
        <w:spacing w:after="0" w:line="276" w:lineRule="auto"/>
        <w:ind w:left="720"/>
        <w:contextualSpacing/>
        <w:jc w:val="center"/>
        <w:rPr>
          <w:rFonts w:ascii="Arial" w:eastAsia="Arial" w:hAnsi="Arial" w:cs="Arial"/>
          <w:i/>
          <w:color w:val="000000"/>
          <w:sz w:val="21"/>
          <w:szCs w:val="21"/>
        </w:rPr>
      </w:pPr>
      <w:r w:rsidRPr="009B053E">
        <w:rPr>
          <w:rFonts w:ascii="Arial" w:eastAsia="Arial" w:hAnsi="Arial" w:cs="Arial"/>
          <w:i/>
          <w:color w:val="000000"/>
          <w:sz w:val="21"/>
          <w:szCs w:val="21"/>
        </w:rPr>
        <w:t>Figure 1: Impact of increasing working hours for young people aged 21 or over, earning the minimum wage and living in supported housing (Blue) and private rented housing in Lambeth (Yellow).</w:t>
      </w:r>
    </w:p>
    <w:p w:rsidR="00401DB8" w:rsidRPr="008113AF" w:rsidRDefault="00401DB8" w:rsidP="00401DB8">
      <w:pPr>
        <w:pBdr>
          <w:top w:val="nil"/>
          <w:left w:val="nil"/>
          <w:bottom w:val="nil"/>
          <w:right w:val="nil"/>
          <w:between w:val="nil"/>
        </w:pBdr>
        <w:spacing w:after="0" w:line="276" w:lineRule="auto"/>
        <w:jc w:val="center"/>
        <w:rPr>
          <w:rFonts w:ascii="Arial" w:eastAsia="Arial" w:hAnsi="Arial" w:cs="Arial"/>
          <w:i/>
          <w:color w:val="000000"/>
        </w:rPr>
      </w:pPr>
    </w:p>
    <w:p w:rsidR="00401DB8" w:rsidRDefault="00401DB8" w:rsidP="00401DB8">
      <w:pPr>
        <w:pBdr>
          <w:top w:val="nil"/>
          <w:left w:val="nil"/>
          <w:bottom w:val="nil"/>
          <w:right w:val="nil"/>
          <w:between w:val="nil"/>
        </w:pBdr>
        <w:spacing w:after="0" w:line="276" w:lineRule="auto"/>
        <w:jc w:val="both"/>
        <w:rPr>
          <w:rFonts w:ascii="Arial" w:eastAsia="Arial" w:hAnsi="Arial" w:cs="Arial"/>
          <w:color w:val="000000"/>
        </w:rPr>
      </w:pPr>
      <w:r w:rsidRPr="008B0960">
        <w:rPr>
          <w:rFonts w:ascii="Arial" w:eastAsia="Arial" w:hAnsi="Arial" w:cs="Arial"/>
          <w:b/>
          <w:color w:val="000000"/>
        </w:rPr>
        <w:t>This dynamic creat</w:t>
      </w:r>
      <w:r w:rsidR="00E5658B">
        <w:rPr>
          <w:rFonts w:ascii="Arial" w:eastAsia="Arial" w:hAnsi="Arial" w:cs="Arial"/>
          <w:b/>
          <w:color w:val="000000"/>
        </w:rPr>
        <w:t>es a METR well in excess of 100 per cent</w:t>
      </w:r>
      <w:r w:rsidRPr="008B0960">
        <w:rPr>
          <w:rFonts w:ascii="Arial" w:eastAsia="Arial" w:hAnsi="Arial" w:cs="Arial"/>
          <w:b/>
          <w:color w:val="000000"/>
        </w:rPr>
        <w:t xml:space="preserve">, and strongly </w:t>
      </w:r>
      <w:proofErr w:type="spellStart"/>
      <w:r w:rsidRPr="008B0960">
        <w:rPr>
          <w:rFonts w:ascii="Arial" w:eastAsia="Arial" w:hAnsi="Arial" w:cs="Arial"/>
          <w:b/>
          <w:color w:val="000000"/>
        </w:rPr>
        <w:t>disincentivises</w:t>
      </w:r>
      <w:proofErr w:type="spellEnd"/>
      <w:r w:rsidRPr="008B0960">
        <w:rPr>
          <w:rFonts w:ascii="Arial" w:eastAsia="Arial" w:hAnsi="Arial" w:cs="Arial"/>
          <w:b/>
          <w:color w:val="000000"/>
        </w:rPr>
        <w:t xml:space="preserve"> employment/working additional hours.</w:t>
      </w:r>
      <w:r w:rsidRPr="008113AF">
        <w:rPr>
          <w:rFonts w:ascii="Arial" w:eastAsia="Arial" w:hAnsi="Arial" w:cs="Arial"/>
          <w:color w:val="000000"/>
        </w:rPr>
        <w:t xml:space="preserve"> </w:t>
      </w:r>
      <w:r>
        <w:rPr>
          <w:rFonts w:ascii="Arial" w:eastAsia="Arial" w:hAnsi="Arial" w:cs="Arial"/>
          <w:color w:val="000000"/>
        </w:rPr>
        <w:t>This proposition is supported in</w:t>
      </w:r>
      <w:r w:rsidRPr="008113AF">
        <w:rPr>
          <w:rFonts w:ascii="Arial" w:eastAsia="Arial" w:hAnsi="Arial" w:cs="Arial"/>
          <w:color w:val="000000"/>
        </w:rPr>
        <w:t xml:space="preserve"> recent research by Webber, Hill, and Hirsch (2023)</w:t>
      </w:r>
      <w:r>
        <w:rPr>
          <w:rFonts w:ascii="Arial" w:eastAsia="Arial" w:hAnsi="Arial" w:cs="Arial"/>
          <w:color w:val="000000"/>
        </w:rPr>
        <w:t>, showing</w:t>
      </w:r>
      <w:r w:rsidRPr="008113AF">
        <w:rPr>
          <w:rFonts w:ascii="Arial" w:eastAsia="Arial" w:hAnsi="Arial" w:cs="Arial"/>
          <w:color w:val="000000"/>
        </w:rPr>
        <w:t xml:space="preserve"> that </w:t>
      </w:r>
      <w:r>
        <w:rPr>
          <w:rFonts w:ascii="Arial" w:eastAsia="Arial" w:hAnsi="Arial" w:cs="Arial"/>
          <w:color w:val="000000"/>
        </w:rPr>
        <w:t>benefit rules strongly discourage</w:t>
      </w:r>
      <w:r w:rsidRPr="008113AF">
        <w:rPr>
          <w:rFonts w:ascii="Arial" w:eastAsia="Arial" w:hAnsi="Arial" w:cs="Arial"/>
          <w:color w:val="000000"/>
        </w:rPr>
        <w:t xml:space="preserve"> young people living in supported accommodation from entering employment</w:t>
      </w:r>
      <w:r w:rsidRPr="008113AF">
        <w:rPr>
          <w:rFonts w:ascii="Arial" w:eastAsia="Arial" w:hAnsi="Arial" w:cs="Arial"/>
          <w:i/>
          <w:color w:val="000000"/>
          <w:vertAlign w:val="superscript"/>
        </w:rPr>
        <w:footnoteReference w:id="5"/>
      </w:r>
      <w:r>
        <w:rPr>
          <w:rFonts w:ascii="Arial" w:eastAsia="Arial" w:hAnsi="Arial" w:cs="Arial"/>
          <w:color w:val="000000"/>
        </w:rPr>
        <w:t>.</w:t>
      </w:r>
    </w:p>
    <w:p w:rsidR="00401DB8" w:rsidRDefault="00401DB8" w:rsidP="00401DB8">
      <w:pPr>
        <w:pBdr>
          <w:top w:val="nil"/>
          <w:left w:val="nil"/>
          <w:bottom w:val="nil"/>
          <w:right w:val="nil"/>
          <w:between w:val="nil"/>
        </w:pBdr>
        <w:spacing w:after="0" w:line="276" w:lineRule="auto"/>
        <w:jc w:val="both"/>
        <w:rPr>
          <w:rFonts w:ascii="Arial" w:eastAsia="Arial" w:hAnsi="Arial" w:cs="Arial"/>
          <w:color w:val="000000"/>
        </w:rPr>
      </w:pPr>
    </w:p>
    <w:p w:rsidR="00401DB8" w:rsidRDefault="00401DB8" w:rsidP="00401DB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Moreover, the dynamic increases the risk that young people living in supported accommodation will fall into arrears if they take on work. For a 21 year old Centrepoint resident living in Lambeth who receives approximately £320 of HB to pay their weekly rent, UC is </w:t>
      </w:r>
      <w:r>
        <w:rPr>
          <w:rFonts w:ascii="Arial" w:eastAsia="Arial" w:hAnsi="Arial" w:cs="Arial"/>
          <w:color w:val="000000"/>
        </w:rPr>
        <w:lastRenderedPageBreak/>
        <w:t xml:space="preserve">tapered to nil at 12 hours. </w:t>
      </w:r>
      <w:r w:rsidRPr="008B0960">
        <w:rPr>
          <w:rFonts w:ascii="Arial" w:eastAsia="Arial" w:hAnsi="Arial" w:cs="Arial"/>
          <w:b/>
          <w:color w:val="000000"/>
        </w:rPr>
        <w:t>At this point, the young person starts to lose their HB, leaving them with less money for working an additional hour than if they had done otherwise</w:t>
      </w:r>
      <w:r>
        <w:rPr>
          <w:rFonts w:ascii="Arial" w:eastAsia="Arial" w:hAnsi="Arial" w:cs="Arial"/>
          <w:color w:val="000000"/>
        </w:rPr>
        <w:t xml:space="preserve"> – </w:t>
      </w:r>
      <w:r w:rsidRPr="00F97797">
        <w:rPr>
          <w:rFonts w:ascii="Arial" w:eastAsia="Arial" w:hAnsi="Arial" w:cs="Arial"/>
          <w:i/>
          <w:color w:val="000000"/>
        </w:rPr>
        <w:t>see figure 1</w:t>
      </w:r>
      <w:r>
        <w:rPr>
          <w:rFonts w:ascii="Arial" w:eastAsia="Arial" w:hAnsi="Arial" w:cs="Arial"/>
          <w:color w:val="000000"/>
        </w:rPr>
        <w:t xml:space="preserve">. </w:t>
      </w:r>
      <w:r w:rsidRPr="00E5658B">
        <w:rPr>
          <w:rFonts w:ascii="Arial" w:eastAsia="Arial" w:hAnsi="Arial" w:cs="Arial"/>
          <w:b/>
          <w:color w:val="000000"/>
        </w:rPr>
        <w:t>For this person, they do not become better off in employment until they work 19 hours</w:t>
      </w:r>
      <w:r>
        <w:rPr>
          <w:rFonts w:ascii="Arial" w:eastAsia="Arial" w:hAnsi="Arial" w:cs="Arial"/>
          <w:color w:val="000000"/>
        </w:rPr>
        <w:t xml:space="preserve"> – </w:t>
      </w:r>
      <w:r w:rsidRPr="00F97797">
        <w:rPr>
          <w:rFonts w:ascii="Arial" w:eastAsia="Arial" w:hAnsi="Arial" w:cs="Arial"/>
          <w:i/>
          <w:color w:val="000000"/>
        </w:rPr>
        <w:t xml:space="preserve">see </w:t>
      </w:r>
      <w:r w:rsidR="009C63A7">
        <w:rPr>
          <w:rFonts w:ascii="Arial" w:eastAsia="Arial" w:hAnsi="Arial" w:cs="Arial"/>
          <w:i/>
          <w:color w:val="000000"/>
        </w:rPr>
        <w:t>figure 2</w:t>
      </w:r>
      <w:r w:rsidR="00AE17C6">
        <w:rPr>
          <w:rFonts w:ascii="Arial" w:eastAsia="Arial" w:hAnsi="Arial" w:cs="Arial"/>
          <w:i/>
          <w:color w:val="000000"/>
        </w:rPr>
        <w:t>, where the period in which they are worse off for working additional hours are highlighted in bold</w:t>
      </w:r>
      <w:r>
        <w:rPr>
          <w:rFonts w:ascii="Arial" w:eastAsia="Arial" w:hAnsi="Arial" w:cs="Arial"/>
          <w:color w:val="000000"/>
        </w:rPr>
        <w:t>:</w:t>
      </w:r>
    </w:p>
    <w:p w:rsidR="00401DB8" w:rsidRPr="00D31E09" w:rsidRDefault="00401DB8" w:rsidP="00401DB8">
      <w:pPr>
        <w:pBdr>
          <w:top w:val="nil"/>
          <w:left w:val="nil"/>
          <w:bottom w:val="nil"/>
          <w:right w:val="nil"/>
          <w:between w:val="nil"/>
        </w:pBdr>
        <w:spacing w:after="0" w:line="276" w:lineRule="auto"/>
        <w:jc w:val="both"/>
        <w:rPr>
          <w:rFonts w:ascii="Arial" w:eastAsia="Arial" w:hAnsi="Arial" w:cs="Arial"/>
          <w:color w:val="000000"/>
        </w:rPr>
      </w:pPr>
    </w:p>
    <w:tbl>
      <w:tblPr>
        <w:tblStyle w:val="TableGrid"/>
        <w:tblW w:w="9862" w:type="dxa"/>
        <w:jc w:val="center"/>
        <w:tblLook w:val="04A0" w:firstRow="1" w:lastRow="0" w:firstColumn="1" w:lastColumn="0" w:noHBand="0" w:noVBand="1"/>
      </w:tblPr>
      <w:tblGrid>
        <w:gridCol w:w="1087"/>
        <w:gridCol w:w="1288"/>
        <w:gridCol w:w="1082"/>
        <w:gridCol w:w="1141"/>
        <w:gridCol w:w="1048"/>
        <w:gridCol w:w="1192"/>
        <w:gridCol w:w="976"/>
        <w:gridCol w:w="1053"/>
        <w:gridCol w:w="995"/>
      </w:tblGrid>
      <w:tr w:rsidR="00401DB8" w:rsidRPr="009A11B0" w:rsidTr="00401DB8">
        <w:trPr>
          <w:trHeight w:val="1160"/>
          <w:jc w:val="center"/>
        </w:trPr>
        <w:tc>
          <w:tcPr>
            <w:tcW w:w="1087" w:type="dxa"/>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Hours Worked</w:t>
            </w:r>
          </w:p>
        </w:tc>
        <w:tc>
          <w:tcPr>
            <w:tcW w:w="1288" w:type="dxa"/>
            <w:noWrap/>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Net wage weekly</w:t>
            </w:r>
            <w:r>
              <w:rPr>
                <w:rFonts w:ascii="Calibri" w:eastAsia="Times New Roman" w:hAnsi="Calibri" w:cs="Calibri"/>
                <w:b/>
                <w:color w:val="000000"/>
                <w:lang w:val="en-GB"/>
              </w:rPr>
              <w:t xml:space="preserve"> (£)</w:t>
            </w:r>
          </w:p>
        </w:tc>
        <w:tc>
          <w:tcPr>
            <w:tcW w:w="1082" w:type="dxa"/>
            <w:noWrap/>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Net wage monthly</w:t>
            </w:r>
            <w:r>
              <w:rPr>
                <w:rFonts w:ascii="Calibri" w:eastAsia="Times New Roman" w:hAnsi="Calibri" w:cs="Calibri"/>
                <w:b/>
                <w:color w:val="000000"/>
                <w:lang w:val="en-GB"/>
              </w:rPr>
              <w:t xml:space="preserve"> (£)</w:t>
            </w:r>
          </w:p>
        </w:tc>
        <w:tc>
          <w:tcPr>
            <w:tcW w:w="1141" w:type="dxa"/>
            <w:hideMark/>
          </w:tcPr>
          <w:p w:rsidR="00401DB8" w:rsidRPr="001E2945" w:rsidRDefault="00401DB8" w:rsidP="00401DB8">
            <w:pPr>
              <w:jc w:val="center"/>
              <w:rPr>
                <w:rFonts w:ascii="Calibri" w:eastAsia="Times New Roman" w:hAnsi="Calibri" w:cs="Calibri"/>
                <w:b/>
                <w:color w:val="000000"/>
                <w:lang w:val="en-GB"/>
              </w:rPr>
            </w:pPr>
            <w:r>
              <w:rPr>
                <w:rFonts w:ascii="Calibri" w:eastAsia="Times New Roman" w:hAnsi="Calibri" w:cs="Calibri"/>
                <w:b/>
                <w:color w:val="000000"/>
                <w:lang w:val="en-GB"/>
              </w:rPr>
              <w:t>Wage tapered UC rules</w:t>
            </w:r>
            <w:r w:rsidRPr="001E2945">
              <w:rPr>
                <w:rFonts w:ascii="Calibri" w:eastAsia="Times New Roman" w:hAnsi="Calibri" w:cs="Calibri"/>
                <w:b/>
                <w:color w:val="000000"/>
                <w:lang w:val="en-GB"/>
              </w:rPr>
              <w:t xml:space="preserve"> </w:t>
            </w:r>
            <w:r>
              <w:rPr>
                <w:rFonts w:ascii="Calibri" w:eastAsia="Times New Roman" w:hAnsi="Calibri" w:cs="Calibri"/>
                <w:b/>
                <w:color w:val="000000"/>
                <w:lang w:val="en-GB"/>
              </w:rPr>
              <w:t>(</w:t>
            </w:r>
            <w:r w:rsidRPr="001E2945">
              <w:rPr>
                <w:rFonts w:ascii="Calibri" w:eastAsia="Times New Roman" w:hAnsi="Calibri" w:cs="Calibri"/>
                <w:b/>
                <w:color w:val="000000"/>
                <w:lang w:val="en-GB"/>
              </w:rPr>
              <w:t>55%</w:t>
            </w:r>
            <w:r>
              <w:rPr>
                <w:rFonts w:ascii="Calibri" w:eastAsia="Times New Roman" w:hAnsi="Calibri" w:cs="Calibri"/>
                <w:b/>
                <w:color w:val="000000"/>
                <w:lang w:val="en-GB"/>
              </w:rPr>
              <w:t>)</w:t>
            </w:r>
          </w:p>
        </w:tc>
        <w:tc>
          <w:tcPr>
            <w:tcW w:w="1048" w:type="dxa"/>
            <w:noWrap/>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 xml:space="preserve">UC </w:t>
            </w:r>
            <w:r>
              <w:rPr>
                <w:rFonts w:ascii="Calibri" w:eastAsia="Times New Roman" w:hAnsi="Calibri" w:cs="Calibri"/>
                <w:b/>
                <w:color w:val="000000"/>
                <w:lang w:val="en-GB"/>
              </w:rPr>
              <w:t xml:space="preserve">Received </w:t>
            </w:r>
            <w:r w:rsidRPr="001D6825">
              <w:rPr>
                <w:rFonts w:ascii="Calibri" w:eastAsia="Times New Roman" w:hAnsi="Calibri" w:cs="Calibri"/>
                <w:b/>
                <w:color w:val="000000"/>
                <w:lang w:val="en-GB"/>
              </w:rPr>
              <w:t>(£)</w:t>
            </w:r>
            <w:r>
              <w:rPr>
                <w:rFonts w:ascii="Calibri" w:eastAsia="Times New Roman" w:hAnsi="Calibri" w:cs="Calibri"/>
                <w:b/>
                <w:color w:val="000000"/>
                <w:lang w:val="en-GB"/>
              </w:rPr>
              <w:t xml:space="preserve">   </w:t>
            </w:r>
          </w:p>
        </w:tc>
        <w:tc>
          <w:tcPr>
            <w:tcW w:w="1192" w:type="dxa"/>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Wage tapered HB rule</w:t>
            </w:r>
            <w:r>
              <w:rPr>
                <w:rFonts w:ascii="Calibri" w:eastAsia="Times New Roman" w:hAnsi="Calibri" w:cs="Calibri"/>
                <w:b/>
                <w:color w:val="000000"/>
                <w:lang w:val="en-GB"/>
              </w:rPr>
              <w:t>s</w:t>
            </w:r>
            <w:r w:rsidRPr="001E2945">
              <w:rPr>
                <w:rFonts w:ascii="Calibri" w:eastAsia="Times New Roman" w:hAnsi="Calibri" w:cs="Calibri"/>
                <w:b/>
                <w:color w:val="000000"/>
                <w:lang w:val="en-GB"/>
              </w:rPr>
              <w:t xml:space="preserve"> </w:t>
            </w:r>
            <w:r>
              <w:rPr>
                <w:rFonts w:ascii="Calibri" w:eastAsia="Times New Roman" w:hAnsi="Calibri" w:cs="Calibri"/>
                <w:b/>
                <w:color w:val="000000"/>
                <w:lang w:val="en-GB"/>
              </w:rPr>
              <w:t>(</w:t>
            </w:r>
            <w:r w:rsidRPr="001E2945">
              <w:rPr>
                <w:rFonts w:ascii="Calibri" w:eastAsia="Times New Roman" w:hAnsi="Calibri" w:cs="Calibri"/>
                <w:b/>
                <w:color w:val="000000"/>
                <w:lang w:val="en-GB"/>
              </w:rPr>
              <w:t>65%</w:t>
            </w:r>
            <w:r>
              <w:rPr>
                <w:rFonts w:ascii="Calibri" w:eastAsia="Times New Roman" w:hAnsi="Calibri" w:cs="Calibri"/>
                <w:b/>
                <w:color w:val="000000"/>
                <w:lang w:val="en-GB"/>
              </w:rPr>
              <w:t>)</w:t>
            </w:r>
            <w:r w:rsidRPr="001E2945">
              <w:rPr>
                <w:rFonts w:ascii="Calibri" w:eastAsia="Times New Roman" w:hAnsi="Calibri" w:cs="Calibri"/>
                <w:b/>
                <w:color w:val="000000"/>
                <w:lang w:val="en-GB"/>
              </w:rPr>
              <w:t xml:space="preserve"> </w:t>
            </w:r>
          </w:p>
        </w:tc>
        <w:tc>
          <w:tcPr>
            <w:tcW w:w="976" w:type="dxa"/>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HB weekly</w:t>
            </w:r>
            <w:r>
              <w:rPr>
                <w:rFonts w:ascii="Calibri" w:eastAsia="Times New Roman" w:hAnsi="Calibri" w:cs="Calibri"/>
                <w:b/>
                <w:color w:val="000000"/>
                <w:lang w:val="en-GB"/>
              </w:rPr>
              <w:t xml:space="preserve"> </w:t>
            </w:r>
            <w:r w:rsidRPr="001D6825">
              <w:rPr>
                <w:rFonts w:ascii="Calibri" w:eastAsia="Times New Roman" w:hAnsi="Calibri" w:cs="Calibri"/>
                <w:b/>
                <w:color w:val="000000"/>
                <w:lang w:val="en-GB"/>
              </w:rPr>
              <w:t>(£)</w:t>
            </w:r>
          </w:p>
        </w:tc>
        <w:tc>
          <w:tcPr>
            <w:tcW w:w="1053" w:type="dxa"/>
            <w:hideMark/>
          </w:tcPr>
          <w:p w:rsidR="00401DB8" w:rsidRPr="001E2945" w:rsidRDefault="00401DB8" w:rsidP="00401DB8">
            <w:pPr>
              <w:jc w:val="center"/>
              <w:rPr>
                <w:rFonts w:ascii="Calibri" w:eastAsia="Times New Roman" w:hAnsi="Calibri" w:cs="Calibri"/>
                <w:b/>
                <w:color w:val="000000"/>
                <w:lang w:val="en-GB"/>
              </w:rPr>
            </w:pPr>
            <w:r w:rsidRPr="001E2945">
              <w:rPr>
                <w:rFonts w:ascii="Calibri" w:eastAsia="Times New Roman" w:hAnsi="Calibri" w:cs="Calibri"/>
                <w:b/>
                <w:color w:val="000000"/>
                <w:lang w:val="en-GB"/>
              </w:rPr>
              <w:t>HB Monthly</w:t>
            </w:r>
            <w:r>
              <w:rPr>
                <w:rFonts w:ascii="Calibri" w:eastAsia="Times New Roman" w:hAnsi="Calibri" w:cs="Calibri"/>
                <w:b/>
                <w:color w:val="000000"/>
                <w:lang w:val="en-GB"/>
              </w:rPr>
              <w:t xml:space="preserve"> </w:t>
            </w:r>
            <w:r w:rsidRPr="001D6825">
              <w:rPr>
                <w:rFonts w:ascii="Calibri" w:eastAsia="Times New Roman" w:hAnsi="Calibri" w:cs="Calibri"/>
                <w:b/>
                <w:color w:val="000000"/>
                <w:lang w:val="en-GB"/>
              </w:rPr>
              <w:t>(£)</w:t>
            </w:r>
          </w:p>
        </w:tc>
        <w:tc>
          <w:tcPr>
            <w:tcW w:w="995" w:type="dxa"/>
            <w:hideMark/>
          </w:tcPr>
          <w:p w:rsidR="00401DB8" w:rsidRDefault="00401DB8" w:rsidP="00401DB8">
            <w:pPr>
              <w:jc w:val="center"/>
              <w:rPr>
                <w:rFonts w:ascii="Calibri" w:eastAsia="Times New Roman" w:hAnsi="Calibri" w:cs="Calibri"/>
                <w:b/>
                <w:color w:val="000000"/>
                <w:lang w:val="en-GB"/>
              </w:rPr>
            </w:pPr>
            <w:r>
              <w:rPr>
                <w:rFonts w:ascii="Calibri" w:eastAsia="Times New Roman" w:hAnsi="Calibri" w:cs="Calibri"/>
                <w:b/>
                <w:color w:val="000000"/>
                <w:lang w:val="en-GB"/>
              </w:rPr>
              <w:t>Total received</w:t>
            </w:r>
          </w:p>
          <w:p w:rsidR="00401DB8" w:rsidRPr="001E2945" w:rsidRDefault="00401DB8" w:rsidP="00401DB8">
            <w:pPr>
              <w:jc w:val="center"/>
              <w:rPr>
                <w:rFonts w:ascii="Calibri" w:eastAsia="Times New Roman" w:hAnsi="Calibri" w:cs="Calibri"/>
                <w:b/>
                <w:color w:val="000000"/>
                <w:lang w:val="en-GB"/>
              </w:rPr>
            </w:pPr>
            <w:r>
              <w:rPr>
                <w:rFonts w:ascii="Calibri" w:eastAsia="Times New Roman" w:hAnsi="Calibri" w:cs="Calibri"/>
                <w:b/>
                <w:color w:val="000000"/>
                <w:lang w:val="en-GB"/>
              </w:rPr>
              <w:t>(HB + UC + Wage)</w:t>
            </w:r>
            <w:r w:rsidRPr="001D6825">
              <w:rPr>
                <w:rFonts w:ascii="Calibri" w:eastAsia="Times New Roman" w:hAnsi="Calibri" w:cs="Calibri"/>
                <w:b/>
                <w:color w:val="000000"/>
                <w:lang w:val="en-GB"/>
              </w:rPr>
              <w:t xml:space="preserve"> (£)</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11</w:t>
            </w:r>
          </w:p>
        </w:tc>
        <w:tc>
          <w:tcPr>
            <w:tcW w:w="1288" w:type="dxa"/>
            <w:noWrap/>
            <w:hideMark/>
          </w:tcPr>
          <w:p w:rsidR="00401DB8" w:rsidRPr="0034746B" w:rsidRDefault="00401DB8" w:rsidP="00401DB8">
            <w:pPr>
              <w:jc w:val="center"/>
            </w:pPr>
            <w:r w:rsidRPr="0034746B">
              <w:t>125.84</w:t>
            </w:r>
          </w:p>
        </w:tc>
        <w:tc>
          <w:tcPr>
            <w:tcW w:w="1082" w:type="dxa"/>
            <w:noWrap/>
            <w:hideMark/>
          </w:tcPr>
          <w:p w:rsidR="00401DB8" w:rsidRPr="00DA4E00" w:rsidRDefault="00401DB8" w:rsidP="00401DB8">
            <w:pPr>
              <w:jc w:val="center"/>
            </w:pPr>
            <w:r w:rsidRPr="00DA4E00">
              <w:t>545.31</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299.92</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11.76</w:t>
            </w:r>
          </w:p>
        </w:tc>
        <w:tc>
          <w:tcPr>
            <w:tcW w:w="1192" w:type="dxa"/>
            <w:noWrap/>
            <w:hideMark/>
          </w:tcPr>
          <w:p w:rsidR="00401DB8" w:rsidRPr="003D4AFC" w:rsidRDefault="00401DB8" w:rsidP="00401DB8">
            <w:pPr>
              <w:jc w:val="center"/>
            </w:pPr>
            <w:r>
              <w:t>0</w:t>
            </w:r>
          </w:p>
        </w:tc>
        <w:tc>
          <w:tcPr>
            <w:tcW w:w="976" w:type="dxa"/>
            <w:noWrap/>
            <w:hideMark/>
          </w:tcPr>
          <w:p w:rsidR="00401DB8" w:rsidRPr="006C6342" w:rsidRDefault="00401DB8" w:rsidP="00401DB8">
            <w:pPr>
              <w:jc w:val="center"/>
            </w:pPr>
            <w:r w:rsidRPr="006C6342">
              <w:t>320.99</w:t>
            </w:r>
          </w:p>
        </w:tc>
        <w:tc>
          <w:tcPr>
            <w:tcW w:w="1053" w:type="dxa"/>
            <w:noWrap/>
            <w:hideMark/>
          </w:tcPr>
          <w:p w:rsidR="00401DB8" w:rsidRPr="00794973" w:rsidRDefault="00401DB8" w:rsidP="00401DB8">
            <w:pPr>
              <w:jc w:val="center"/>
            </w:pPr>
            <w:r>
              <w:t>1348.15</w:t>
            </w:r>
          </w:p>
        </w:tc>
        <w:tc>
          <w:tcPr>
            <w:tcW w:w="995" w:type="dxa"/>
            <w:noWrap/>
            <w:hideMark/>
          </w:tcPr>
          <w:p w:rsidR="00401DB8" w:rsidRPr="003D174C" w:rsidRDefault="00401DB8" w:rsidP="00401DB8">
            <w:pPr>
              <w:jc w:val="center"/>
            </w:pPr>
            <w:r w:rsidRPr="003D174C">
              <w:t>1905.23</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12</w:t>
            </w:r>
          </w:p>
        </w:tc>
        <w:tc>
          <w:tcPr>
            <w:tcW w:w="1288" w:type="dxa"/>
            <w:noWrap/>
            <w:hideMark/>
          </w:tcPr>
          <w:p w:rsidR="00401DB8" w:rsidRPr="0034746B" w:rsidRDefault="00401DB8" w:rsidP="00401DB8">
            <w:pPr>
              <w:jc w:val="center"/>
            </w:pPr>
            <w:r w:rsidRPr="0034746B">
              <w:t>137.28</w:t>
            </w:r>
          </w:p>
        </w:tc>
        <w:tc>
          <w:tcPr>
            <w:tcW w:w="1082" w:type="dxa"/>
            <w:noWrap/>
            <w:hideMark/>
          </w:tcPr>
          <w:p w:rsidR="00401DB8" w:rsidRPr="00DA4E00" w:rsidRDefault="00401DB8" w:rsidP="00401DB8">
            <w:pPr>
              <w:jc w:val="center"/>
            </w:pPr>
            <w:r w:rsidRPr="00DA4E00">
              <w:t>594.88</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39.377</w:t>
            </w:r>
          </w:p>
        </w:tc>
        <w:tc>
          <w:tcPr>
            <w:tcW w:w="976" w:type="dxa"/>
            <w:noWrap/>
            <w:hideMark/>
          </w:tcPr>
          <w:p w:rsidR="00401DB8" w:rsidRPr="006C6342" w:rsidRDefault="00401DB8" w:rsidP="00401DB8">
            <w:pPr>
              <w:jc w:val="center"/>
            </w:pPr>
            <w:r w:rsidRPr="006C6342">
              <w:t>281.613</w:t>
            </w:r>
          </w:p>
        </w:tc>
        <w:tc>
          <w:tcPr>
            <w:tcW w:w="1053" w:type="dxa"/>
            <w:noWrap/>
            <w:hideMark/>
          </w:tcPr>
          <w:p w:rsidR="00401DB8" w:rsidRPr="00794973" w:rsidRDefault="00401DB8" w:rsidP="00401DB8">
            <w:pPr>
              <w:jc w:val="center"/>
            </w:pPr>
            <w:r>
              <w:t>1182.77</w:t>
            </w:r>
          </w:p>
        </w:tc>
        <w:tc>
          <w:tcPr>
            <w:tcW w:w="995" w:type="dxa"/>
            <w:noWrap/>
            <w:hideMark/>
          </w:tcPr>
          <w:p w:rsidR="00401DB8" w:rsidRPr="001D6825" w:rsidRDefault="00401DB8" w:rsidP="00401DB8">
            <w:pPr>
              <w:jc w:val="center"/>
              <w:rPr>
                <w:b/>
              </w:rPr>
            </w:pPr>
            <w:r w:rsidRPr="001D6825">
              <w:rPr>
                <w:b/>
              </w:rPr>
              <w:t>1777.65</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13</w:t>
            </w:r>
          </w:p>
        </w:tc>
        <w:tc>
          <w:tcPr>
            <w:tcW w:w="1288" w:type="dxa"/>
            <w:noWrap/>
            <w:hideMark/>
          </w:tcPr>
          <w:p w:rsidR="00401DB8" w:rsidRPr="0034746B" w:rsidRDefault="00401DB8" w:rsidP="00401DB8">
            <w:pPr>
              <w:jc w:val="center"/>
            </w:pPr>
            <w:r w:rsidRPr="0034746B">
              <w:t>148.72</w:t>
            </w:r>
          </w:p>
        </w:tc>
        <w:tc>
          <w:tcPr>
            <w:tcW w:w="1082" w:type="dxa"/>
            <w:noWrap/>
            <w:hideMark/>
          </w:tcPr>
          <w:p w:rsidR="00401DB8" w:rsidRPr="00DA4E00" w:rsidRDefault="00401DB8" w:rsidP="00401DB8">
            <w:pPr>
              <w:jc w:val="center"/>
            </w:pPr>
            <w:r w:rsidRPr="00DA4E00">
              <w:t>644.45</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46.81</w:t>
            </w:r>
          </w:p>
        </w:tc>
        <w:tc>
          <w:tcPr>
            <w:tcW w:w="976" w:type="dxa"/>
            <w:noWrap/>
            <w:hideMark/>
          </w:tcPr>
          <w:p w:rsidR="00401DB8" w:rsidRPr="006C6342" w:rsidRDefault="00401DB8" w:rsidP="00401DB8">
            <w:pPr>
              <w:jc w:val="center"/>
            </w:pPr>
            <w:r w:rsidRPr="006C6342">
              <w:t>274.18</w:t>
            </w:r>
          </w:p>
        </w:tc>
        <w:tc>
          <w:tcPr>
            <w:tcW w:w="1053" w:type="dxa"/>
            <w:noWrap/>
            <w:hideMark/>
          </w:tcPr>
          <w:p w:rsidR="00401DB8" w:rsidRPr="00794973" w:rsidRDefault="00401DB8" w:rsidP="00401DB8">
            <w:pPr>
              <w:jc w:val="center"/>
            </w:pPr>
            <w:r w:rsidRPr="00794973">
              <w:t>1151.54</w:t>
            </w:r>
          </w:p>
        </w:tc>
        <w:tc>
          <w:tcPr>
            <w:tcW w:w="995" w:type="dxa"/>
            <w:noWrap/>
            <w:hideMark/>
          </w:tcPr>
          <w:p w:rsidR="00401DB8" w:rsidRPr="001D6825" w:rsidRDefault="00401DB8" w:rsidP="00401DB8">
            <w:pPr>
              <w:jc w:val="center"/>
              <w:rPr>
                <w:b/>
              </w:rPr>
            </w:pPr>
            <w:r w:rsidRPr="001D6825">
              <w:rPr>
                <w:b/>
              </w:rPr>
              <w:t>1796.00</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14</w:t>
            </w:r>
          </w:p>
        </w:tc>
        <w:tc>
          <w:tcPr>
            <w:tcW w:w="1288" w:type="dxa"/>
            <w:noWrap/>
            <w:hideMark/>
          </w:tcPr>
          <w:p w:rsidR="00401DB8" w:rsidRPr="0034746B" w:rsidRDefault="00401DB8" w:rsidP="00401DB8">
            <w:pPr>
              <w:jc w:val="center"/>
            </w:pPr>
            <w:r w:rsidRPr="0034746B">
              <w:t>160.16</w:t>
            </w:r>
          </w:p>
        </w:tc>
        <w:tc>
          <w:tcPr>
            <w:tcW w:w="1082" w:type="dxa"/>
            <w:noWrap/>
            <w:hideMark/>
          </w:tcPr>
          <w:p w:rsidR="00401DB8" w:rsidRPr="00DA4E00" w:rsidRDefault="00401DB8" w:rsidP="00401DB8">
            <w:pPr>
              <w:jc w:val="center"/>
            </w:pPr>
            <w:r w:rsidRPr="00DA4E00">
              <w:t>694.03</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54.25</w:t>
            </w:r>
          </w:p>
        </w:tc>
        <w:tc>
          <w:tcPr>
            <w:tcW w:w="976" w:type="dxa"/>
            <w:noWrap/>
            <w:hideMark/>
          </w:tcPr>
          <w:p w:rsidR="00401DB8" w:rsidRPr="006C6342" w:rsidRDefault="00401DB8" w:rsidP="00401DB8">
            <w:pPr>
              <w:jc w:val="center"/>
            </w:pPr>
            <w:r w:rsidRPr="006C6342">
              <w:t>266.74</w:t>
            </w:r>
          </w:p>
        </w:tc>
        <w:tc>
          <w:tcPr>
            <w:tcW w:w="1053" w:type="dxa"/>
            <w:noWrap/>
            <w:hideMark/>
          </w:tcPr>
          <w:p w:rsidR="00401DB8" w:rsidRPr="00794973" w:rsidRDefault="00401DB8" w:rsidP="00401DB8">
            <w:pPr>
              <w:jc w:val="center"/>
            </w:pPr>
            <w:r w:rsidRPr="00794973">
              <w:t>1120.31</w:t>
            </w:r>
          </w:p>
        </w:tc>
        <w:tc>
          <w:tcPr>
            <w:tcW w:w="995" w:type="dxa"/>
            <w:noWrap/>
            <w:hideMark/>
          </w:tcPr>
          <w:p w:rsidR="00401DB8" w:rsidRPr="001D6825" w:rsidRDefault="00401DB8" w:rsidP="00401DB8">
            <w:pPr>
              <w:jc w:val="center"/>
              <w:rPr>
                <w:b/>
              </w:rPr>
            </w:pPr>
            <w:r w:rsidRPr="001D6825">
              <w:rPr>
                <w:b/>
              </w:rPr>
              <w:t>1814.34</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15</w:t>
            </w:r>
          </w:p>
        </w:tc>
        <w:tc>
          <w:tcPr>
            <w:tcW w:w="1288" w:type="dxa"/>
            <w:noWrap/>
            <w:hideMark/>
          </w:tcPr>
          <w:p w:rsidR="00401DB8" w:rsidRPr="0034746B" w:rsidRDefault="00401DB8" w:rsidP="00401DB8">
            <w:pPr>
              <w:jc w:val="center"/>
            </w:pPr>
            <w:r w:rsidRPr="0034746B">
              <w:t>171.60</w:t>
            </w:r>
          </w:p>
        </w:tc>
        <w:tc>
          <w:tcPr>
            <w:tcW w:w="1082" w:type="dxa"/>
            <w:noWrap/>
            <w:hideMark/>
          </w:tcPr>
          <w:p w:rsidR="00401DB8" w:rsidRPr="00DA4E00" w:rsidRDefault="00401DB8" w:rsidP="00401DB8">
            <w:pPr>
              <w:jc w:val="center"/>
            </w:pPr>
            <w:r w:rsidRPr="00DA4E00">
              <w:t>743.60</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61.69</w:t>
            </w:r>
          </w:p>
        </w:tc>
        <w:tc>
          <w:tcPr>
            <w:tcW w:w="976" w:type="dxa"/>
            <w:noWrap/>
            <w:hideMark/>
          </w:tcPr>
          <w:p w:rsidR="00401DB8" w:rsidRPr="006C6342" w:rsidRDefault="00401DB8" w:rsidP="00401DB8">
            <w:pPr>
              <w:jc w:val="center"/>
            </w:pPr>
            <w:r w:rsidRPr="006C6342">
              <w:t>259.31</w:t>
            </w:r>
          </w:p>
        </w:tc>
        <w:tc>
          <w:tcPr>
            <w:tcW w:w="1053" w:type="dxa"/>
            <w:noWrap/>
            <w:hideMark/>
          </w:tcPr>
          <w:p w:rsidR="00401DB8" w:rsidRPr="00794973" w:rsidRDefault="00401DB8" w:rsidP="00401DB8">
            <w:pPr>
              <w:jc w:val="center"/>
            </w:pPr>
            <w:r w:rsidRPr="00794973">
              <w:t>1089.08</w:t>
            </w:r>
          </w:p>
        </w:tc>
        <w:tc>
          <w:tcPr>
            <w:tcW w:w="995" w:type="dxa"/>
            <w:noWrap/>
            <w:hideMark/>
          </w:tcPr>
          <w:p w:rsidR="00401DB8" w:rsidRPr="001D6825" w:rsidRDefault="00401DB8" w:rsidP="00401DB8">
            <w:pPr>
              <w:jc w:val="center"/>
              <w:rPr>
                <w:b/>
              </w:rPr>
            </w:pPr>
            <w:r w:rsidRPr="001D6825">
              <w:rPr>
                <w:b/>
              </w:rPr>
              <w:t>1832.68</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16</w:t>
            </w:r>
          </w:p>
        </w:tc>
        <w:tc>
          <w:tcPr>
            <w:tcW w:w="1288" w:type="dxa"/>
            <w:noWrap/>
            <w:hideMark/>
          </w:tcPr>
          <w:p w:rsidR="00401DB8" w:rsidRPr="0034746B" w:rsidRDefault="00401DB8" w:rsidP="00401DB8">
            <w:pPr>
              <w:jc w:val="center"/>
            </w:pPr>
            <w:r w:rsidRPr="0034746B">
              <w:t>183.04</w:t>
            </w:r>
          </w:p>
        </w:tc>
        <w:tc>
          <w:tcPr>
            <w:tcW w:w="1082" w:type="dxa"/>
            <w:noWrap/>
            <w:hideMark/>
          </w:tcPr>
          <w:p w:rsidR="00401DB8" w:rsidRPr="00DA4E00" w:rsidRDefault="00401DB8" w:rsidP="00401DB8">
            <w:pPr>
              <w:jc w:val="center"/>
            </w:pPr>
            <w:r w:rsidRPr="00DA4E00">
              <w:t>793.17</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69.12</w:t>
            </w:r>
          </w:p>
        </w:tc>
        <w:tc>
          <w:tcPr>
            <w:tcW w:w="976" w:type="dxa"/>
            <w:noWrap/>
            <w:hideMark/>
          </w:tcPr>
          <w:p w:rsidR="00401DB8" w:rsidRPr="006C6342" w:rsidRDefault="00401DB8" w:rsidP="00401DB8">
            <w:pPr>
              <w:jc w:val="center"/>
            </w:pPr>
            <w:r w:rsidRPr="006C6342">
              <w:t>251.87</w:t>
            </w:r>
          </w:p>
        </w:tc>
        <w:tc>
          <w:tcPr>
            <w:tcW w:w="1053" w:type="dxa"/>
            <w:noWrap/>
            <w:hideMark/>
          </w:tcPr>
          <w:p w:rsidR="00401DB8" w:rsidRPr="00794973" w:rsidRDefault="00401DB8" w:rsidP="00401DB8">
            <w:pPr>
              <w:jc w:val="center"/>
            </w:pPr>
            <w:r w:rsidRPr="00794973">
              <w:t>1057.85</w:t>
            </w:r>
          </w:p>
        </w:tc>
        <w:tc>
          <w:tcPr>
            <w:tcW w:w="995" w:type="dxa"/>
            <w:noWrap/>
            <w:hideMark/>
          </w:tcPr>
          <w:p w:rsidR="00401DB8" w:rsidRPr="001D6825" w:rsidRDefault="00401DB8" w:rsidP="00401DB8">
            <w:pPr>
              <w:jc w:val="center"/>
              <w:rPr>
                <w:b/>
              </w:rPr>
            </w:pPr>
            <w:r w:rsidRPr="001D6825">
              <w:rPr>
                <w:b/>
              </w:rPr>
              <w:t>1851.02</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17</w:t>
            </w:r>
          </w:p>
        </w:tc>
        <w:tc>
          <w:tcPr>
            <w:tcW w:w="1288" w:type="dxa"/>
            <w:noWrap/>
            <w:hideMark/>
          </w:tcPr>
          <w:p w:rsidR="00401DB8" w:rsidRPr="0034746B" w:rsidRDefault="00401DB8" w:rsidP="00401DB8">
            <w:pPr>
              <w:jc w:val="center"/>
            </w:pPr>
            <w:r w:rsidRPr="0034746B">
              <w:t>194.48</w:t>
            </w:r>
          </w:p>
        </w:tc>
        <w:tc>
          <w:tcPr>
            <w:tcW w:w="1082" w:type="dxa"/>
            <w:noWrap/>
            <w:hideMark/>
          </w:tcPr>
          <w:p w:rsidR="00401DB8" w:rsidRPr="00DA4E00" w:rsidRDefault="00401DB8" w:rsidP="00401DB8">
            <w:pPr>
              <w:jc w:val="center"/>
            </w:pPr>
            <w:r w:rsidRPr="00DA4E00">
              <w:t>842.75</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76.56</w:t>
            </w:r>
          </w:p>
        </w:tc>
        <w:tc>
          <w:tcPr>
            <w:tcW w:w="976" w:type="dxa"/>
            <w:noWrap/>
            <w:hideMark/>
          </w:tcPr>
          <w:p w:rsidR="00401DB8" w:rsidRPr="006C6342" w:rsidRDefault="00401DB8" w:rsidP="00401DB8">
            <w:pPr>
              <w:jc w:val="center"/>
            </w:pPr>
            <w:r w:rsidRPr="006C6342">
              <w:t>244.43</w:t>
            </w:r>
          </w:p>
        </w:tc>
        <w:tc>
          <w:tcPr>
            <w:tcW w:w="1053" w:type="dxa"/>
            <w:noWrap/>
            <w:hideMark/>
          </w:tcPr>
          <w:p w:rsidR="00401DB8" w:rsidRPr="00794973" w:rsidRDefault="00401DB8" w:rsidP="00401DB8">
            <w:pPr>
              <w:jc w:val="center"/>
            </w:pPr>
            <w:r w:rsidRPr="00794973">
              <w:t>1026.62</w:t>
            </w:r>
          </w:p>
        </w:tc>
        <w:tc>
          <w:tcPr>
            <w:tcW w:w="995" w:type="dxa"/>
            <w:noWrap/>
            <w:hideMark/>
          </w:tcPr>
          <w:p w:rsidR="00401DB8" w:rsidRPr="001D6825" w:rsidRDefault="00401DB8" w:rsidP="00401DB8">
            <w:pPr>
              <w:jc w:val="center"/>
              <w:rPr>
                <w:b/>
              </w:rPr>
            </w:pPr>
            <w:r w:rsidRPr="001D6825">
              <w:rPr>
                <w:b/>
              </w:rPr>
              <w:t>1869.37</w:t>
            </w:r>
          </w:p>
        </w:tc>
      </w:tr>
      <w:tr w:rsidR="00401DB8" w:rsidRPr="009A11B0" w:rsidTr="00401DB8">
        <w:trPr>
          <w:trHeight w:val="290"/>
          <w:jc w:val="center"/>
        </w:trPr>
        <w:tc>
          <w:tcPr>
            <w:tcW w:w="1087" w:type="dxa"/>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18</w:t>
            </w:r>
          </w:p>
        </w:tc>
        <w:tc>
          <w:tcPr>
            <w:tcW w:w="1288" w:type="dxa"/>
            <w:noWrap/>
            <w:hideMark/>
          </w:tcPr>
          <w:p w:rsidR="00401DB8" w:rsidRPr="0034746B" w:rsidRDefault="00401DB8" w:rsidP="00401DB8">
            <w:pPr>
              <w:jc w:val="center"/>
            </w:pPr>
            <w:r w:rsidRPr="0034746B">
              <w:t>205.92</w:t>
            </w:r>
          </w:p>
        </w:tc>
        <w:tc>
          <w:tcPr>
            <w:tcW w:w="1082" w:type="dxa"/>
            <w:noWrap/>
            <w:hideMark/>
          </w:tcPr>
          <w:p w:rsidR="00401DB8" w:rsidRPr="00DA4E00" w:rsidRDefault="00401DB8" w:rsidP="00401DB8">
            <w:pPr>
              <w:jc w:val="center"/>
            </w:pPr>
            <w:r w:rsidRPr="00DA4E00">
              <w:t>892.32</w:t>
            </w:r>
          </w:p>
        </w:tc>
        <w:tc>
          <w:tcPr>
            <w:tcW w:w="1141" w:type="dxa"/>
            <w:noWrap/>
            <w:hideMark/>
          </w:tcPr>
          <w:p w:rsidR="00401DB8" w:rsidRPr="009A11B0"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0</w:t>
            </w:r>
          </w:p>
        </w:tc>
        <w:tc>
          <w:tcPr>
            <w:tcW w:w="1048" w:type="dxa"/>
            <w:noWrap/>
            <w:hideMark/>
          </w:tcPr>
          <w:p w:rsidR="00401DB8" w:rsidRPr="009A11B0" w:rsidRDefault="00401DB8" w:rsidP="00401DB8">
            <w:pPr>
              <w:jc w:val="center"/>
              <w:rPr>
                <w:rFonts w:ascii="Calibri" w:eastAsia="Times New Roman" w:hAnsi="Calibri" w:cs="Calibri"/>
                <w:color w:val="000000"/>
                <w:lang w:val="en-GB"/>
              </w:rPr>
            </w:pPr>
            <w:r w:rsidRPr="009A11B0">
              <w:rPr>
                <w:rFonts w:ascii="Calibri" w:eastAsia="Times New Roman" w:hAnsi="Calibri" w:cs="Calibri"/>
                <w:color w:val="000000"/>
                <w:lang w:val="en-GB"/>
              </w:rPr>
              <w:t>0</w:t>
            </w:r>
          </w:p>
        </w:tc>
        <w:tc>
          <w:tcPr>
            <w:tcW w:w="1192" w:type="dxa"/>
            <w:noWrap/>
            <w:hideMark/>
          </w:tcPr>
          <w:p w:rsidR="00401DB8" w:rsidRPr="003D4AFC" w:rsidRDefault="00401DB8" w:rsidP="00401DB8">
            <w:pPr>
              <w:jc w:val="center"/>
            </w:pPr>
            <w:r w:rsidRPr="003D4AFC">
              <w:t>83.99</w:t>
            </w:r>
          </w:p>
        </w:tc>
        <w:tc>
          <w:tcPr>
            <w:tcW w:w="976" w:type="dxa"/>
            <w:noWrap/>
            <w:hideMark/>
          </w:tcPr>
          <w:p w:rsidR="00401DB8" w:rsidRPr="006C6342" w:rsidRDefault="00401DB8" w:rsidP="00401DB8">
            <w:pPr>
              <w:jc w:val="center"/>
            </w:pPr>
            <w:r w:rsidRPr="006C6342">
              <w:t>237.00</w:t>
            </w:r>
          </w:p>
        </w:tc>
        <w:tc>
          <w:tcPr>
            <w:tcW w:w="1053" w:type="dxa"/>
            <w:noWrap/>
            <w:hideMark/>
          </w:tcPr>
          <w:p w:rsidR="00401DB8" w:rsidRPr="00794973" w:rsidRDefault="00401DB8" w:rsidP="00401DB8">
            <w:pPr>
              <w:jc w:val="center"/>
            </w:pPr>
            <w:r w:rsidRPr="00794973">
              <w:t>995.39</w:t>
            </w:r>
          </w:p>
        </w:tc>
        <w:tc>
          <w:tcPr>
            <w:tcW w:w="995" w:type="dxa"/>
            <w:noWrap/>
            <w:hideMark/>
          </w:tcPr>
          <w:p w:rsidR="00401DB8" w:rsidRPr="001D6825" w:rsidRDefault="00401DB8" w:rsidP="00401DB8">
            <w:pPr>
              <w:jc w:val="center"/>
              <w:rPr>
                <w:b/>
              </w:rPr>
            </w:pPr>
            <w:r w:rsidRPr="001D6825">
              <w:rPr>
                <w:b/>
              </w:rPr>
              <w:t>1887.71</w:t>
            </w:r>
          </w:p>
        </w:tc>
      </w:tr>
      <w:tr w:rsidR="00401DB8" w:rsidRPr="009A11B0" w:rsidTr="00401DB8">
        <w:trPr>
          <w:trHeight w:val="290"/>
          <w:jc w:val="center"/>
        </w:trPr>
        <w:tc>
          <w:tcPr>
            <w:tcW w:w="1087" w:type="dxa"/>
          </w:tcPr>
          <w:p w:rsidR="00401DB8" w:rsidRDefault="00401DB8" w:rsidP="00401DB8">
            <w:pPr>
              <w:jc w:val="center"/>
              <w:rPr>
                <w:rFonts w:ascii="Calibri" w:eastAsia="Times New Roman" w:hAnsi="Calibri" w:cs="Calibri"/>
                <w:color w:val="000000"/>
                <w:lang w:val="en-GB"/>
              </w:rPr>
            </w:pPr>
            <w:r>
              <w:rPr>
                <w:rFonts w:ascii="Calibri" w:eastAsia="Times New Roman" w:hAnsi="Calibri" w:cs="Calibri"/>
                <w:color w:val="000000"/>
                <w:lang w:val="en-GB"/>
              </w:rPr>
              <w:t>19</w:t>
            </w:r>
          </w:p>
        </w:tc>
        <w:tc>
          <w:tcPr>
            <w:tcW w:w="1288" w:type="dxa"/>
            <w:noWrap/>
          </w:tcPr>
          <w:p w:rsidR="00401DB8" w:rsidRDefault="00401DB8" w:rsidP="00401DB8">
            <w:pPr>
              <w:jc w:val="center"/>
            </w:pPr>
            <w:r w:rsidRPr="0034746B">
              <w:t>217.36</w:t>
            </w:r>
          </w:p>
        </w:tc>
        <w:tc>
          <w:tcPr>
            <w:tcW w:w="1082" w:type="dxa"/>
            <w:noWrap/>
          </w:tcPr>
          <w:p w:rsidR="00401DB8" w:rsidRDefault="00401DB8" w:rsidP="00401DB8">
            <w:pPr>
              <w:jc w:val="center"/>
            </w:pPr>
            <w:r w:rsidRPr="00DA4E00">
              <w:t>941.89</w:t>
            </w:r>
          </w:p>
        </w:tc>
        <w:tc>
          <w:tcPr>
            <w:tcW w:w="1141" w:type="dxa"/>
            <w:noWrap/>
          </w:tcPr>
          <w:p w:rsidR="00401DB8" w:rsidRPr="008808BC" w:rsidRDefault="00401DB8" w:rsidP="00401DB8">
            <w:pPr>
              <w:jc w:val="center"/>
            </w:pPr>
            <w:r>
              <w:t>0</w:t>
            </w:r>
          </w:p>
        </w:tc>
        <w:tc>
          <w:tcPr>
            <w:tcW w:w="1048" w:type="dxa"/>
            <w:noWrap/>
          </w:tcPr>
          <w:p w:rsidR="00401DB8" w:rsidRPr="008808BC" w:rsidRDefault="00401DB8" w:rsidP="00401DB8">
            <w:pPr>
              <w:jc w:val="center"/>
            </w:pPr>
            <w:r w:rsidRPr="008808BC">
              <w:t>0</w:t>
            </w:r>
          </w:p>
        </w:tc>
        <w:tc>
          <w:tcPr>
            <w:tcW w:w="1192" w:type="dxa"/>
            <w:noWrap/>
          </w:tcPr>
          <w:p w:rsidR="00401DB8" w:rsidRDefault="00401DB8" w:rsidP="00401DB8">
            <w:pPr>
              <w:jc w:val="center"/>
            </w:pPr>
            <w:r w:rsidRPr="003D4AFC">
              <w:t>91.43</w:t>
            </w:r>
          </w:p>
        </w:tc>
        <w:tc>
          <w:tcPr>
            <w:tcW w:w="976" w:type="dxa"/>
            <w:noWrap/>
          </w:tcPr>
          <w:p w:rsidR="00401DB8" w:rsidRDefault="00401DB8" w:rsidP="00401DB8">
            <w:pPr>
              <w:jc w:val="center"/>
            </w:pPr>
            <w:r w:rsidRPr="006C6342">
              <w:t>229.56</w:t>
            </w:r>
          </w:p>
        </w:tc>
        <w:tc>
          <w:tcPr>
            <w:tcW w:w="1053" w:type="dxa"/>
            <w:noWrap/>
          </w:tcPr>
          <w:p w:rsidR="00401DB8" w:rsidRDefault="00401DB8" w:rsidP="00401DB8">
            <w:pPr>
              <w:jc w:val="center"/>
            </w:pPr>
            <w:r w:rsidRPr="00794973">
              <w:t>964.16</w:t>
            </w:r>
          </w:p>
        </w:tc>
        <w:tc>
          <w:tcPr>
            <w:tcW w:w="995" w:type="dxa"/>
            <w:noWrap/>
          </w:tcPr>
          <w:p w:rsidR="00401DB8" w:rsidRDefault="00401DB8" w:rsidP="00401DB8">
            <w:pPr>
              <w:jc w:val="center"/>
            </w:pPr>
            <w:r w:rsidRPr="003D174C">
              <w:t>1906.05</w:t>
            </w:r>
          </w:p>
        </w:tc>
      </w:tr>
    </w:tbl>
    <w:p w:rsidR="00401DB8" w:rsidRPr="009B053E" w:rsidRDefault="00401DB8" w:rsidP="00401DB8">
      <w:pPr>
        <w:pBdr>
          <w:top w:val="nil"/>
          <w:left w:val="nil"/>
          <w:bottom w:val="nil"/>
          <w:right w:val="nil"/>
          <w:between w:val="nil"/>
        </w:pBdr>
        <w:spacing w:after="0" w:line="276" w:lineRule="auto"/>
        <w:jc w:val="center"/>
        <w:rPr>
          <w:rFonts w:ascii="Arial" w:eastAsia="Arial" w:hAnsi="Arial" w:cs="Arial"/>
          <w:color w:val="000000"/>
          <w:sz w:val="21"/>
          <w:szCs w:val="21"/>
        </w:rPr>
      </w:pPr>
      <w:r w:rsidRPr="009B053E">
        <w:rPr>
          <w:rFonts w:ascii="Arial" w:eastAsia="Arial" w:hAnsi="Arial" w:cs="Arial"/>
          <w:i/>
          <w:color w:val="000000"/>
          <w:sz w:val="21"/>
          <w:szCs w:val="21"/>
        </w:rPr>
        <w:t>Figure 2: impact of UC and HB taper rates on overall income for a young person living in Lambeth, receiving the minimum wage and paying £320.99 rent who starts working over 12 hours.</w:t>
      </w:r>
    </w:p>
    <w:p w:rsidR="00401DB8" w:rsidRPr="00C658D3" w:rsidRDefault="00401DB8" w:rsidP="00401DB8">
      <w:pPr>
        <w:pBdr>
          <w:top w:val="nil"/>
          <w:left w:val="nil"/>
          <w:bottom w:val="nil"/>
          <w:right w:val="nil"/>
          <w:between w:val="nil"/>
        </w:pBdr>
        <w:spacing w:after="0" w:line="276" w:lineRule="auto"/>
        <w:jc w:val="both"/>
        <w:rPr>
          <w:rFonts w:ascii="Arial" w:eastAsia="Arial" w:hAnsi="Arial" w:cs="Arial"/>
          <w:color w:val="000000"/>
        </w:rPr>
      </w:pPr>
    </w:p>
    <w:p w:rsidR="00401DB8" w:rsidRDefault="00401DB8" w:rsidP="00401DB8">
      <w:pPr>
        <w:spacing w:after="0" w:line="240" w:lineRule="auto"/>
        <w:jc w:val="both"/>
        <w:rPr>
          <w:rFonts w:ascii="Arial" w:hAnsi="Arial" w:cs="Arial"/>
        </w:rPr>
      </w:pPr>
      <w:r w:rsidRPr="008B0960">
        <w:rPr>
          <w:rFonts w:ascii="Arial" w:hAnsi="Arial" w:cs="Arial"/>
          <w:b/>
        </w:rPr>
        <w:t>For a young person with an average overall monthly expenditure on non-rent essentials of over £400 (based on service charge costs and estimates of essential grocery and travel costs by Demos),</w:t>
      </w:r>
      <w:r w:rsidR="009C63A7" w:rsidRPr="008B0960">
        <w:rPr>
          <w:rStyle w:val="FootnoteReference"/>
          <w:rFonts w:ascii="Arial" w:hAnsi="Arial" w:cs="Arial"/>
          <w:b/>
        </w:rPr>
        <w:footnoteReference w:id="6"/>
      </w:r>
      <w:r w:rsidRPr="008B0960">
        <w:rPr>
          <w:rFonts w:ascii="Arial" w:hAnsi="Arial" w:cs="Arial"/>
          <w:b/>
        </w:rPr>
        <w:t xml:space="preserve"> this reduction in earnings when working additional hours could put them at risk of rent arrears </w:t>
      </w:r>
      <w:r>
        <w:rPr>
          <w:rFonts w:ascii="Arial" w:hAnsi="Arial" w:cs="Arial"/>
        </w:rPr>
        <w:t xml:space="preserve">– due to the shortfall in their overall income meaning that they will have to choose where to prioritise their </w:t>
      </w:r>
      <w:r w:rsidR="00E5658B">
        <w:rPr>
          <w:rFonts w:ascii="Arial" w:hAnsi="Arial" w:cs="Arial"/>
        </w:rPr>
        <w:t>non-HB income</w:t>
      </w:r>
      <w:r>
        <w:rPr>
          <w:rFonts w:ascii="Arial" w:hAnsi="Arial" w:cs="Arial"/>
        </w:rPr>
        <w:t xml:space="preserve"> (i.e. on rent or non-rent essentials).</w:t>
      </w:r>
    </w:p>
    <w:p w:rsidR="00401DB8" w:rsidRPr="00AC6BA6" w:rsidRDefault="00401DB8" w:rsidP="00401DB8">
      <w:pPr>
        <w:spacing w:after="0" w:line="240" w:lineRule="auto"/>
        <w:jc w:val="both"/>
        <w:rPr>
          <w:rFonts w:ascii="Arial" w:hAnsi="Arial" w:cs="Arial"/>
        </w:rPr>
      </w:pPr>
    </w:p>
    <w:p w:rsidR="00401DB8" w:rsidRDefault="00401DB8" w:rsidP="00401DB8">
      <w:pPr>
        <w:spacing w:after="0"/>
        <w:jc w:val="both"/>
        <w:rPr>
          <w:rFonts w:ascii="Arial" w:hAnsi="Arial" w:cs="Arial"/>
        </w:rPr>
      </w:pPr>
      <w:r>
        <w:rPr>
          <w:rFonts w:ascii="Arial" w:hAnsi="Arial" w:cs="Arial"/>
        </w:rPr>
        <w:t xml:space="preserve">The </w:t>
      </w:r>
      <w:r w:rsidR="009C63A7">
        <w:rPr>
          <w:rFonts w:ascii="Arial" w:hAnsi="Arial" w:cs="Arial"/>
        </w:rPr>
        <w:t xml:space="preserve">perceived </w:t>
      </w:r>
      <w:r>
        <w:rPr>
          <w:rFonts w:ascii="Arial" w:hAnsi="Arial" w:cs="Arial"/>
        </w:rPr>
        <w:t xml:space="preserve">impact of employment on young peoples’ finances has a tangible effect on economic behaviour. </w:t>
      </w:r>
      <w:r w:rsidR="009C63A7">
        <w:rPr>
          <w:rFonts w:ascii="Arial" w:hAnsi="Arial" w:cs="Arial"/>
        </w:rPr>
        <w:t>Many</w:t>
      </w:r>
      <w:r>
        <w:rPr>
          <w:rFonts w:ascii="Arial" w:hAnsi="Arial" w:cs="Arial"/>
        </w:rPr>
        <w:t xml:space="preserve"> young people living in </w:t>
      </w:r>
      <w:r w:rsidR="009C63A7">
        <w:rPr>
          <w:rFonts w:ascii="Arial" w:hAnsi="Arial" w:cs="Arial"/>
        </w:rPr>
        <w:t>supported accommodation</w:t>
      </w:r>
      <w:r>
        <w:rPr>
          <w:rFonts w:ascii="Arial" w:hAnsi="Arial" w:cs="Arial"/>
        </w:rPr>
        <w:t xml:space="preserve"> </w:t>
      </w:r>
      <w:r w:rsidR="00AE17C6">
        <w:rPr>
          <w:rFonts w:ascii="Arial" w:hAnsi="Arial" w:cs="Arial"/>
        </w:rPr>
        <w:t xml:space="preserve">are </w:t>
      </w:r>
      <w:r>
        <w:rPr>
          <w:rFonts w:ascii="Arial" w:hAnsi="Arial" w:cs="Arial"/>
        </w:rPr>
        <w:t xml:space="preserve">(both explicitly and implicitly) discouraged from accessing work because of the impact on their benefits and </w:t>
      </w:r>
      <w:r w:rsidR="00AE17C6">
        <w:rPr>
          <w:rFonts w:ascii="Arial" w:hAnsi="Arial" w:cs="Arial"/>
        </w:rPr>
        <w:t>overall income</w:t>
      </w:r>
      <w:r>
        <w:rPr>
          <w:rFonts w:ascii="Arial" w:hAnsi="Arial" w:cs="Arial"/>
        </w:rPr>
        <w:t xml:space="preserve">. </w:t>
      </w:r>
      <w:r w:rsidRPr="00AE17C6">
        <w:rPr>
          <w:rFonts w:ascii="Arial" w:hAnsi="Arial" w:cs="Arial"/>
          <w:b/>
        </w:rPr>
        <w:t>Recent Centrepoint research found that 43 per cent of homeless young people (survey of 246) with employment experiences had turned down jobs or more hours because of the effect it would have on their benefits</w:t>
      </w:r>
      <w:r w:rsidRPr="00DB2A51">
        <w:rPr>
          <w:rFonts w:ascii="Arial" w:hAnsi="Arial" w:cs="Arial"/>
        </w:rPr>
        <w:t>.</w:t>
      </w:r>
      <w:r>
        <w:rPr>
          <w:rStyle w:val="FootnoteReference"/>
          <w:rFonts w:ascii="Arial" w:hAnsi="Arial" w:cs="Arial"/>
        </w:rPr>
        <w:footnoteReference w:id="7"/>
      </w:r>
      <w:r w:rsidRPr="00DB2A51">
        <w:rPr>
          <w:rFonts w:ascii="Verdana" w:eastAsia="Verdana" w:hAnsi="Verdana" w:cs="Verdana"/>
          <w:sz w:val="18"/>
          <w:szCs w:val="20"/>
        </w:rPr>
        <w:t xml:space="preserve"> </w:t>
      </w:r>
      <w:r>
        <w:rPr>
          <w:rFonts w:ascii="Arial" w:hAnsi="Arial" w:cs="Arial"/>
        </w:rPr>
        <w:t xml:space="preserve">These findings are mirrored by previous research conducted by Centrepoint in </w:t>
      </w:r>
      <w:r w:rsidRPr="00DB2A51">
        <w:rPr>
          <w:rFonts w:ascii="Arial" w:hAnsi="Arial" w:cs="Arial"/>
        </w:rPr>
        <w:t xml:space="preserve">2021 </w:t>
      </w:r>
      <w:r>
        <w:rPr>
          <w:rFonts w:ascii="Arial" w:hAnsi="Arial" w:cs="Arial"/>
        </w:rPr>
        <w:t xml:space="preserve">that </w:t>
      </w:r>
      <w:r w:rsidRPr="00DB2A51">
        <w:rPr>
          <w:rFonts w:ascii="Arial" w:hAnsi="Arial" w:cs="Arial"/>
        </w:rPr>
        <w:t>found that</w:t>
      </w:r>
      <w:r>
        <w:rPr>
          <w:rFonts w:ascii="Arial" w:hAnsi="Arial" w:cs="Arial"/>
        </w:rPr>
        <w:t>,</w:t>
      </w:r>
      <w:r w:rsidRPr="00DB2A51">
        <w:rPr>
          <w:rFonts w:ascii="Arial" w:hAnsi="Arial" w:cs="Arial"/>
        </w:rPr>
        <w:t xml:space="preserve"> of 215 homeless young people across the UK, 48 per cent reported that they felt they had had to turn down a job or more hours due to the impact </w:t>
      </w:r>
      <w:r>
        <w:rPr>
          <w:rFonts w:ascii="Arial" w:hAnsi="Arial" w:cs="Arial"/>
        </w:rPr>
        <w:t xml:space="preserve">that </w:t>
      </w:r>
      <w:r w:rsidRPr="00DB2A51">
        <w:rPr>
          <w:rFonts w:ascii="Arial" w:hAnsi="Arial" w:cs="Arial"/>
        </w:rPr>
        <w:t>this would have on their benefits.</w:t>
      </w:r>
      <w:r>
        <w:rPr>
          <w:rStyle w:val="FootnoteReference"/>
          <w:rFonts w:ascii="Arial" w:hAnsi="Arial" w:cs="Arial"/>
        </w:rPr>
        <w:footnoteReference w:id="8"/>
      </w:r>
    </w:p>
    <w:p w:rsidR="00401DB8" w:rsidRDefault="00401DB8" w:rsidP="00401DB8">
      <w:pPr>
        <w:spacing w:after="0"/>
        <w:jc w:val="both"/>
        <w:rPr>
          <w:rFonts w:ascii="Arial" w:hAnsi="Arial" w:cs="Arial"/>
        </w:rPr>
      </w:pPr>
    </w:p>
    <w:p w:rsidR="00401DB8" w:rsidRPr="004C0C16" w:rsidRDefault="00401DB8" w:rsidP="00401DB8">
      <w:pPr>
        <w:spacing w:after="0"/>
        <w:ind w:left="850" w:right="850"/>
        <w:jc w:val="center"/>
        <w:rPr>
          <w:rFonts w:ascii="Arial" w:hAnsi="Arial" w:cs="Arial"/>
          <w:i/>
        </w:rPr>
      </w:pPr>
      <w:r>
        <w:rPr>
          <w:rFonts w:ascii="Arial" w:hAnsi="Arial" w:cs="Arial"/>
          <w:i/>
        </w:rPr>
        <w:lastRenderedPageBreak/>
        <w:t>“</w:t>
      </w:r>
      <w:r w:rsidRPr="004C0C16">
        <w:rPr>
          <w:rFonts w:ascii="Arial" w:hAnsi="Arial" w:cs="Arial"/>
          <w:i/>
        </w:rPr>
        <w:t xml:space="preserve">When their Housing Benefit is reduced significantly, that's when they think - I don't </w:t>
      </w:r>
      <w:proofErr w:type="spellStart"/>
      <w:r w:rsidRPr="004C0C16">
        <w:rPr>
          <w:rFonts w:ascii="Arial" w:hAnsi="Arial" w:cs="Arial"/>
          <w:i/>
        </w:rPr>
        <w:t>wanna</w:t>
      </w:r>
      <w:proofErr w:type="spellEnd"/>
      <w:r w:rsidRPr="004C0C16">
        <w:rPr>
          <w:rFonts w:ascii="Arial" w:hAnsi="Arial" w:cs="Arial"/>
          <w:i/>
        </w:rPr>
        <w:t xml:space="preserve"> do this anymore because I'm not actually seeing the </w:t>
      </w:r>
      <w:r>
        <w:rPr>
          <w:rFonts w:ascii="Arial" w:hAnsi="Arial" w:cs="Arial"/>
          <w:i/>
        </w:rPr>
        <w:t>money I'm earning.”</w:t>
      </w:r>
    </w:p>
    <w:p w:rsidR="00401DB8" w:rsidRPr="009B053E" w:rsidRDefault="00401DB8" w:rsidP="00401DB8">
      <w:pPr>
        <w:spacing w:after="0"/>
        <w:ind w:left="850" w:right="850"/>
        <w:jc w:val="center"/>
        <w:rPr>
          <w:rFonts w:ascii="Arial" w:hAnsi="Arial" w:cs="Arial"/>
          <w:sz w:val="21"/>
          <w:szCs w:val="21"/>
        </w:rPr>
      </w:pPr>
      <w:r w:rsidRPr="009B053E">
        <w:rPr>
          <w:rFonts w:ascii="Arial" w:hAnsi="Arial" w:cs="Arial"/>
          <w:sz w:val="21"/>
          <w:szCs w:val="21"/>
        </w:rPr>
        <w:t>(Employment support staff member, Centrepoint, London)</w:t>
      </w:r>
    </w:p>
    <w:p w:rsidR="00401DB8" w:rsidRDefault="00401DB8" w:rsidP="00401DB8">
      <w:pPr>
        <w:spacing w:after="0"/>
        <w:rPr>
          <w:rFonts w:ascii="Arial" w:hAnsi="Arial" w:cs="Arial"/>
        </w:rPr>
      </w:pPr>
    </w:p>
    <w:p w:rsidR="00401DB8" w:rsidRPr="00AE17C6" w:rsidRDefault="00401DB8" w:rsidP="00401DB8">
      <w:pPr>
        <w:spacing w:after="0"/>
        <w:jc w:val="both"/>
        <w:rPr>
          <w:rFonts w:ascii="Arial" w:hAnsi="Arial" w:cs="Arial"/>
          <w:b/>
        </w:rPr>
      </w:pPr>
      <w:r>
        <w:rPr>
          <w:rFonts w:ascii="Arial" w:hAnsi="Arial" w:cs="Arial"/>
        </w:rPr>
        <w:t xml:space="preserve">While this issue is likely exacerbated by the paucity of accessible, plain-English guidance on the specific risks of employment for young people living in supported accommodation (disaggregated by </w:t>
      </w:r>
      <w:r w:rsidR="00AE17C6">
        <w:rPr>
          <w:rFonts w:ascii="Arial" w:hAnsi="Arial" w:cs="Arial"/>
        </w:rPr>
        <w:t xml:space="preserve">factors such as </w:t>
      </w:r>
      <w:r>
        <w:rPr>
          <w:rFonts w:ascii="Arial" w:hAnsi="Arial" w:cs="Arial"/>
        </w:rPr>
        <w:t xml:space="preserve">age </w:t>
      </w:r>
      <w:r w:rsidR="00AE17C6">
        <w:rPr>
          <w:rFonts w:ascii="Arial" w:hAnsi="Arial" w:cs="Arial"/>
        </w:rPr>
        <w:t>or</w:t>
      </w:r>
      <w:r>
        <w:rPr>
          <w:rFonts w:ascii="Arial" w:hAnsi="Arial" w:cs="Arial"/>
        </w:rPr>
        <w:t xml:space="preserve"> income), it is apparent that, once young people begin to lose their HB, they experience shortfalls in their overall income – with lost HB often mitigated for via the re-allocation of </w:t>
      </w:r>
      <w:r w:rsidR="009C63A7">
        <w:rPr>
          <w:rFonts w:ascii="Arial" w:hAnsi="Arial" w:cs="Arial"/>
        </w:rPr>
        <w:t xml:space="preserve">UC and/or </w:t>
      </w:r>
      <w:r>
        <w:rPr>
          <w:rFonts w:ascii="Arial" w:hAnsi="Arial" w:cs="Arial"/>
        </w:rPr>
        <w:t xml:space="preserve">earned income. </w:t>
      </w:r>
      <w:r w:rsidRPr="00AE17C6">
        <w:rPr>
          <w:rFonts w:ascii="Arial" w:hAnsi="Arial" w:cs="Arial"/>
          <w:b/>
        </w:rPr>
        <w:t xml:space="preserve">In areas where the cost of living is higher, it is likely that young people </w:t>
      </w:r>
      <w:r w:rsidR="009C63A7" w:rsidRPr="00AE17C6">
        <w:rPr>
          <w:rFonts w:ascii="Arial" w:hAnsi="Arial" w:cs="Arial"/>
          <w:b/>
        </w:rPr>
        <w:t>will be</w:t>
      </w:r>
      <w:r w:rsidRPr="00AE17C6">
        <w:rPr>
          <w:rFonts w:ascii="Arial" w:hAnsi="Arial" w:cs="Arial"/>
          <w:b/>
        </w:rPr>
        <w:t xml:space="preserve"> less able to re-allocate </w:t>
      </w:r>
      <w:r w:rsidR="009C63A7" w:rsidRPr="00AE17C6">
        <w:rPr>
          <w:rFonts w:ascii="Arial" w:hAnsi="Arial" w:cs="Arial"/>
          <w:b/>
        </w:rPr>
        <w:t xml:space="preserve">UC and/or </w:t>
      </w:r>
      <w:r w:rsidRPr="00AE17C6">
        <w:rPr>
          <w:rFonts w:ascii="Arial" w:hAnsi="Arial" w:cs="Arial"/>
          <w:b/>
        </w:rPr>
        <w:t xml:space="preserve">earned income to mitigate for HB shortfalls, with necessary expenses such as food and travel accounting for a greater proportion of their overall expenditure. </w:t>
      </w:r>
    </w:p>
    <w:p w:rsidR="00401DB8" w:rsidRDefault="00401DB8" w:rsidP="00401DB8">
      <w:pPr>
        <w:spacing w:after="0"/>
        <w:rPr>
          <w:rFonts w:ascii="Arial" w:hAnsi="Arial" w:cs="Arial"/>
        </w:rPr>
      </w:pPr>
    </w:p>
    <w:p w:rsidR="00401DB8" w:rsidRDefault="00401DB8" w:rsidP="00401DB8">
      <w:pPr>
        <w:spacing w:after="0"/>
        <w:jc w:val="both"/>
        <w:rPr>
          <w:rFonts w:ascii="Arial" w:hAnsi="Arial" w:cs="Arial"/>
        </w:rPr>
      </w:pPr>
      <w:r>
        <w:rPr>
          <w:rFonts w:ascii="Arial" w:hAnsi="Arial" w:cs="Arial"/>
        </w:rPr>
        <w:t xml:space="preserve">This issue may be particularly pronounced </w:t>
      </w:r>
      <w:r w:rsidR="00AE17C6">
        <w:rPr>
          <w:rFonts w:ascii="Arial" w:hAnsi="Arial" w:cs="Arial"/>
        </w:rPr>
        <w:t xml:space="preserve">when </w:t>
      </w:r>
      <w:r>
        <w:rPr>
          <w:rFonts w:ascii="Arial" w:hAnsi="Arial" w:cs="Arial"/>
        </w:rPr>
        <w:t>there are larger numbers of young (i.e., 16-21) and/or part-time workers liv</w:t>
      </w:r>
      <w:r w:rsidR="00E56EB8">
        <w:rPr>
          <w:rFonts w:ascii="Arial" w:hAnsi="Arial" w:cs="Arial"/>
        </w:rPr>
        <w:t xml:space="preserve">ing in supported accommodation. </w:t>
      </w:r>
      <w:r>
        <w:rPr>
          <w:rFonts w:ascii="Arial" w:hAnsi="Arial" w:cs="Arial"/>
        </w:rPr>
        <w:t xml:space="preserve">Our analysis suggests that </w:t>
      </w:r>
      <w:r w:rsidRPr="00AE17C6">
        <w:rPr>
          <w:rFonts w:ascii="Arial" w:hAnsi="Arial" w:cs="Arial"/>
          <w:b/>
        </w:rPr>
        <w:t xml:space="preserve">young people who earn less (i.e., the </w:t>
      </w:r>
      <w:r w:rsidR="00AE17C6" w:rsidRPr="00AE17C6">
        <w:rPr>
          <w:rFonts w:ascii="Arial" w:hAnsi="Arial" w:cs="Arial"/>
          <w:b/>
        </w:rPr>
        <w:t xml:space="preserve">£8.60 </w:t>
      </w:r>
      <w:r w:rsidRPr="00AE17C6">
        <w:rPr>
          <w:rFonts w:ascii="Arial" w:hAnsi="Arial" w:cs="Arial"/>
          <w:b/>
        </w:rPr>
        <w:t>minimum wage</w:t>
      </w:r>
      <w:r w:rsidR="00AE17C6" w:rsidRPr="00AE17C6">
        <w:rPr>
          <w:rFonts w:ascii="Arial" w:hAnsi="Arial" w:cs="Arial"/>
          <w:b/>
        </w:rPr>
        <w:t xml:space="preserve"> for 18-21 year olds</w:t>
      </w:r>
      <w:r w:rsidRPr="00AE17C6">
        <w:rPr>
          <w:rFonts w:ascii="Arial" w:hAnsi="Arial" w:cs="Arial"/>
          <w:b/>
        </w:rPr>
        <w:t>) become worse off for additional hours of work at later points than those earning more (e.g. 21 year olds earning</w:t>
      </w:r>
      <w:r w:rsidR="00AE17C6" w:rsidRPr="00AE17C6">
        <w:rPr>
          <w:rFonts w:ascii="Arial" w:hAnsi="Arial" w:cs="Arial"/>
          <w:b/>
        </w:rPr>
        <w:t xml:space="preserve"> the</w:t>
      </w:r>
      <w:r w:rsidRPr="00AE17C6">
        <w:rPr>
          <w:rFonts w:ascii="Arial" w:hAnsi="Arial" w:cs="Arial"/>
          <w:b/>
        </w:rPr>
        <w:t xml:space="preserve"> £11.44 </w:t>
      </w:r>
      <w:r w:rsidR="00AE17C6" w:rsidRPr="00AE17C6">
        <w:rPr>
          <w:rFonts w:ascii="Arial" w:hAnsi="Arial" w:cs="Arial"/>
          <w:b/>
        </w:rPr>
        <w:t>minimum wage</w:t>
      </w:r>
      <w:r w:rsidRPr="00AE17C6">
        <w:rPr>
          <w:rFonts w:ascii="Arial" w:hAnsi="Arial" w:cs="Arial"/>
          <w:b/>
        </w:rPr>
        <w:t xml:space="preserve">), yet the impact of benefit rules on overall income </w:t>
      </w:r>
      <w:r w:rsidR="009A6CA5" w:rsidRPr="00AE17C6">
        <w:rPr>
          <w:rFonts w:ascii="Arial" w:hAnsi="Arial" w:cs="Arial"/>
          <w:b/>
        </w:rPr>
        <w:t>will be</w:t>
      </w:r>
      <w:r w:rsidRPr="00AE17C6">
        <w:rPr>
          <w:rFonts w:ascii="Arial" w:hAnsi="Arial" w:cs="Arial"/>
          <w:b/>
        </w:rPr>
        <w:t xml:space="preserve"> sustained for longer overall periods</w:t>
      </w:r>
      <w:r>
        <w:rPr>
          <w:rFonts w:ascii="Arial" w:hAnsi="Arial" w:cs="Arial"/>
        </w:rPr>
        <w:t xml:space="preserve"> – meaning that they </w:t>
      </w:r>
      <w:r w:rsidR="00E56EB8">
        <w:rPr>
          <w:rFonts w:ascii="Arial" w:hAnsi="Arial" w:cs="Arial"/>
        </w:rPr>
        <w:t>are worse off</w:t>
      </w:r>
      <w:r w:rsidR="009A6CA5">
        <w:rPr>
          <w:rFonts w:ascii="Arial" w:hAnsi="Arial" w:cs="Arial"/>
        </w:rPr>
        <w:t xml:space="preserve"> for</w:t>
      </w:r>
      <w:r>
        <w:rPr>
          <w:rFonts w:ascii="Arial" w:hAnsi="Arial" w:cs="Arial"/>
        </w:rPr>
        <w:t xml:space="preserve"> </w:t>
      </w:r>
      <w:r w:rsidR="009A6CA5">
        <w:rPr>
          <w:rFonts w:ascii="Arial" w:hAnsi="Arial" w:cs="Arial"/>
        </w:rPr>
        <w:t>extended</w:t>
      </w:r>
      <w:r>
        <w:rPr>
          <w:rFonts w:ascii="Arial" w:hAnsi="Arial" w:cs="Arial"/>
        </w:rPr>
        <w:t xml:space="preserve"> duration</w:t>
      </w:r>
      <w:r w:rsidR="009A6CA5">
        <w:rPr>
          <w:rFonts w:ascii="Arial" w:hAnsi="Arial" w:cs="Arial"/>
        </w:rPr>
        <w:t>s</w:t>
      </w:r>
      <w:r>
        <w:rPr>
          <w:rFonts w:ascii="Arial" w:hAnsi="Arial" w:cs="Arial"/>
        </w:rPr>
        <w:t xml:space="preserve">. This is demonstrated in the below table showing the impact of benefit rules on 16-17 year olds and apprentices </w:t>
      </w:r>
      <w:r w:rsidR="00AE17C6">
        <w:rPr>
          <w:rFonts w:ascii="Arial" w:hAnsi="Arial" w:cs="Arial"/>
        </w:rPr>
        <w:t xml:space="preserve">earning the £6.40 minimum wage </w:t>
      </w:r>
      <w:r>
        <w:rPr>
          <w:rFonts w:ascii="Arial" w:hAnsi="Arial" w:cs="Arial"/>
        </w:rPr>
        <w:t xml:space="preserve">– </w:t>
      </w:r>
      <w:r w:rsidRPr="00085C26">
        <w:rPr>
          <w:rFonts w:ascii="Arial" w:hAnsi="Arial" w:cs="Arial"/>
          <w:i/>
        </w:rPr>
        <w:t>worse off period is in bold</w:t>
      </w:r>
      <w:r>
        <w:rPr>
          <w:rFonts w:ascii="Arial" w:hAnsi="Arial" w:cs="Arial"/>
        </w:rPr>
        <w:t>:</w:t>
      </w:r>
    </w:p>
    <w:p w:rsidR="00401DB8" w:rsidRDefault="00401DB8" w:rsidP="00401DB8">
      <w:pPr>
        <w:spacing w:after="0"/>
        <w:rPr>
          <w:rFonts w:ascii="Arial" w:hAnsi="Arial" w:cs="Arial"/>
        </w:rPr>
      </w:pPr>
    </w:p>
    <w:tbl>
      <w:tblPr>
        <w:tblStyle w:val="TableGrid"/>
        <w:tblW w:w="0" w:type="auto"/>
        <w:jc w:val="center"/>
        <w:tblLook w:val="04A0" w:firstRow="1" w:lastRow="0" w:firstColumn="1" w:lastColumn="0" w:noHBand="0" w:noVBand="1"/>
      </w:tblPr>
      <w:tblGrid>
        <w:gridCol w:w="962"/>
        <w:gridCol w:w="917"/>
        <w:gridCol w:w="995"/>
        <w:gridCol w:w="1006"/>
        <w:gridCol w:w="1109"/>
        <w:gridCol w:w="1006"/>
        <w:gridCol w:w="917"/>
        <w:gridCol w:w="995"/>
        <w:gridCol w:w="1109"/>
      </w:tblGrid>
      <w:tr w:rsidR="00401DB8" w:rsidRPr="00F74CB1" w:rsidTr="00401DB8">
        <w:trPr>
          <w:trHeight w:val="298"/>
          <w:jc w:val="center"/>
        </w:trPr>
        <w:tc>
          <w:tcPr>
            <w:tcW w:w="987" w:type="dxa"/>
            <w:shd w:val="clear" w:color="auto" w:fill="F2F2F2" w:themeFill="background1" w:themeFillShade="F2"/>
          </w:tcPr>
          <w:p w:rsidR="00401DB8" w:rsidRPr="00F74CB1" w:rsidRDefault="00401DB8" w:rsidP="00401DB8">
            <w:pPr>
              <w:jc w:val="center"/>
              <w:rPr>
                <w:rFonts w:ascii="Arial" w:hAnsi="Arial" w:cs="Arial"/>
                <w:b/>
              </w:rPr>
            </w:pPr>
            <w:r w:rsidRPr="00F74CB1">
              <w:rPr>
                <w:rFonts w:ascii="Arial" w:hAnsi="Arial" w:cs="Arial"/>
                <w:b/>
              </w:rPr>
              <w:t>Hours Worked</w:t>
            </w:r>
          </w:p>
        </w:tc>
        <w:tc>
          <w:tcPr>
            <w:tcW w:w="1355" w:type="dxa"/>
            <w:shd w:val="clear" w:color="auto" w:fill="F2F2F2" w:themeFill="background1" w:themeFillShade="F2"/>
          </w:tcPr>
          <w:p w:rsidR="00401DB8" w:rsidRPr="00F74CB1" w:rsidRDefault="00401DB8" w:rsidP="00401DB8">
            <w:pPr>
              <w:jc w:val="center"/>
              <w:rPr>
                <w:rFonts w:ascii="Arial" w:hAnsi="Arial" w:cs="Arial"/>
                <w:b/>
              </w:rPr>
            </w:pPr>
            <w:r>
              <w:rPr>
                <w:rFonts w:ascii="Arial" w:hAnsi="Arial" w:cs="Arial"/>
                <w:b/>
              </w:rPr>
              <w:t xml:space="preserve">Net Wage Weekly </w:t>
            </w:r>
            <w:r w:rsidRPr="001D6825">
              <w:rPr>
                <w:rFonts w:ascii="Arial" w:hAnsi="Arial" w:cs="Arial"/>
                <w:b/>
                <w:lang w:val="en-GB"/>
              </w:rPr>
              <w:t>(£)</w:t>
            </w:r>
            <w:r>
              <w:rPr>
                <w:rFonts w:ascii="Arial" w:hAnsi="Arial" w:cs="Arial"/>
                <w:b/>
              </w:rPr>
              <w:t xml:space="preserve"> </w:t>
            </w:r>
          </w:p>
        </w:tc>
        <w:tc>
          <w:tcPr>
            <w:tcW w:w="1120" w:type="dxa"/>
            <w:shd w:val="clear" w:color="auto" w:fill="F2F2F2" w:themeFill="background1" w:themeFillShade="F2"/>
          </w:tcPr>
          <w:p w:rsidR="00401DB8" w:rsidRPr="002C45A6" w:rsidRDefault="00401DB8" w:rsidP="00401DB8">
            <w:pPr>
              <w:jc w:val="center"/>
              <w:rPr>
                <w:rFonts w:ascii="Arial" w:hAnsi="Arial" w:cs="Arial"/>
                <w:b/>
              </w:rPr>
            </w:pPr>
            <w:r w:rsidRPr="002C45A6">
              <w:rPr>
                <w:rFonts w:ascii="Arial" w:hAnsi="Arial" w:cs="Arial"/>
                <w:b/>
              </w:rPr>
              <w:t>Net Wage Monthly</w:t>
            </w:r>
            <w:r>
              <w:rPr>
                <w:rFonts w:ascii="Arial" w:hAnsi="Arial" w:cs="Arial"/>
                <w:b/>
              </w:rPr>
              <w:t xml:space="preserve"> </w:t>
            </w:r>
            <w:r w:rsidRPr="001D6825">
              <w:rPr>
                <w:rFonts w:ascii="Arial" w:hAnsi="Arial" w:cs="Arial"/>
                <w:b/>
                <w:lang w:val="en-GB"/>
              </w:rPr>
              <w:t>(£)</w:t>
            </w:r>
          </w:p>
        </w:tc>
        <w:tc>
          <w:tcPr>
            <w:tcW w:w="1092" w:type="dxa"/>
            <w:shd w:val="clear" w:color="auto" w:fill="F2F2F2" w:themeFill="background1" w:themeFillShade="F2"/>
          </w:tcPr>
          <w:p w:rsidR="00401DB8" w:rsidRPr="00F74CB1" w:rsidRDefault="00401DB8" w:rsidP="00401DB8">
            <w:pPr>
              <w:jc w:val="center"/>
              <w:rPr>
                <w:rFonts w:ascii="Arial" w:hAnsi="Arial" w:cs="Arial"/>
                <w:b/>
              </w:rPr>
            </w:pPr>
            <w:r>
              <w:rPr>
                <w:rFonts w:ascii="Arial" w:hAnsi="Arial" w:cs="Arial"/>
                <w:b/>
              </w:rPr>
              <w:t>Wage Tapered UC Rules (</w:t>
            </w:r>
            <w:r w:rsidRPr="00CE4528">
              <w:rPr>
                <w:rFonts w:ascii="Arial" w:hAnsi="Arial" w:cs="Arial"/>
                <w:b/>
              </w:rPr>
              <w:t>55%</w:t>
            </w:r>
            <w:r>
              <w:rPr>
                <w:rFonts w:ascii="Arial" w:hAnsi="Arial" w:cs="Arial"/>
                <w:b/>
              </w:rPr>
              <w:t>)</w:t>
            </w:r>
          </w:p>
        </w:tc>
        <w:tc>
          <w:tcPr>
            <w:tcW w:w="1005" w:type="dxa"/>
            <w:shd w:val="clear" w:color="auto" w:fill="F2F2F2" w:themeFill="background1" w:themeFillShade="F2"/>
          </w:tcPr>
          <w:p w:rsidR="00401DB8" w:rsidRPr="00F74CB1" w:rsidRDefault="00401DB8" w:rsidP="00401DB8">
            <w:pPr>
              <w:jc w:val="center"/>
              <w:rPr>
                <w:rFonts w:ascii="Arial" w:hAnsi="Arial" w:cs="Arial"/>
              </w:rPr>
            </w:pPr>
            <w:r w:rsidRPr="00F74CB1">
              <w:rPr>
                <w:rFonts w:ascii="Arial" w:hAnsi="Arial" w:cs="Arial"/>
                <w:b/>
              </w:rPr>
              <w:t xml:space="preserve">UC </w:t>
            </w:r>
            <w:r>
              <w:rPr>
                <w:rFonts w:ascii="Arial" w:hAnsi="Arial" w:cs="Arial"/>
                <w:b/>
              </w:rPr>
              <w:t>R</w:t>
            </w:r>
            <w:r w:rsidRPr="00967E3A">
              <w:rPr>
                <w:rFonts w:ascii="Arial" w:hAnsi="Arial" w:cs="Arial"/>
                <w:b/>
              </w:rPr>
              <w:t>eceived</w:t>
            </w:r>
            <w:r>
              <w:rPr>
                <w:rFonts w:ascii="Arial" w:hAnsi="Arial" w:cs="Arial"/>
                <w:b/>
              </w:rPr>
              <w:t xml:space="preserve"> </w:t>
            </w:r>
            <w:r w:rsidRPr="001D6825">
              <w:rPr>
                <w:rFonts w:ascii="Arial" w:hAnsi="Arial" w:cs="Arial"/>
                <w:b/>
                <w:lang w:val="en-GB"/>
              </w:rPr>
              <w:t>(£)</w:t>
            </w:r>
          </w:p>
        </w:tc>
        <w:tc>
          <w:tcPr>
            <w:tcW w:w="1141" w:type="dxa"/>
            <w:shd w:val="clear" w:color="auto" w:fill="F2F2F2" w:themeFill="background1" w:themeFillShade="F2"/>
          </w:tcPr>
          <w:p w:rsidR="00401DB8" w:rsidRPr="00F74CB1" w:rsidRDefault="00401DB8" w:rsidP="00401DB8">
            <w:pPr>
              <w:jc w:val="center"/>
              <w:rPr>
                <w:rFonts w:ascii="Arial" w:hAnsi="Arial" w:cs="Arial"/>
                <w:b/>
              </w:rPr>
            </w:pPr>
            <w:r>
              <w:rPr>
                <w:rFonts w:ascii="Arial" w:hAnsi="Arial" w:cs="Arial"/>
                <w:b/>
              </w:rPr>
              <w:t>Wage T</w:t>
            </w:r>
            <w:r w:rsidRPr="00F74CB1">
              <w:rPr>
                <w:rFonts w:ascii="Arial" w:hAnsi="Arial" w:cs="Arial"/>
                <w:b/>
              </w:rPr>
              <w:t xml:space="preserve">apered </w:t>
            </w:r>
            <w:r>
              <w:rPr>
                <w:rFonts w:ascii="Arial" w:hAnsi="Arial" w:cs="Arial"/>
                <w:b/>
              </w:rPr>
              <w:t>HB R</w:t>
            </w:r>
            <w:r w:rsidRPr="00F74CB1">
              <w:rPr>
                <w:rFonts w:ascii="Arial" w:hAnsi="Arial" w:cs="Arial"/>
                <w:b/>
              </w:rPr>
              <w:t xml:space="preserve">ules (65%) </w:t>
            </w:r>
          </w:p>
        </w:tc>
        <w:tc>
          <w:tcPr>
            <w:tcW w:w="1072" w:type="dxa"/>
            <w:shd w:val="clear" w:color="auto" w:fill="F2F2F2" w:themeFill="background1" w:themeFillShade="F2"/>
          </w:tcPr>
          <w:p w:rsidR="00401DB8" w:rsidRPr="00F74CB1" w:rsidRDefault="00401DB8" w:rsidP="00401DB8">
            <w:pPr>
              <w:jc w:val="center"/>
              <w:rPr>
                <w:rFonts w:ascii="Arial" w:hAnsi="Arial" w:cs="Arial"/>
                <w:b/>
              </w:rPr>
            </w:pPr>
            <w:r w:rsidRPr="00F74CB1">
              <w:rPr>
                <w:rFonts w:ascii="Arial" w:hAnsi="Arial" w:cs="Arial"/>
                <w:b/>
              </w:rPr>
              <w:t>H</w:t>
            </w:r>
            <w:r>
              <w:rPr>
                <w:rFonts w:ascii="Arial" w:hAnsi="Arial" w:cs="Arial"/>
                <w:b/>
              </w:rPr>
              <w:t>B W</w:t>
            </w:r>
            <w:r w:rsidRPr="00F74CB1">
              <w:rPr>
                <w:rFonts w:ascii="Arial" w:hAnsi="Arial" w:cs="Arial"/>
                <w:b/>
              </w:rPr>
              <w:t>eekly</w:t>
            </w:r>
            <w:r>
              <w:rPr>
                <w:rFonts w:ascii="Arial" w:hAnsi="Arial" w:cs="Arial"/>
                <w:b/>
              </w:rPr>
              <w:t xml:space="preserve"> </w:t>
            </w:r>
            <w:r w:rsidRPr="001D6825">
              <w:rPr>
                <w:rFonts w:ascii="Arial" w:hAnsi="Arial" w:cs="Arial"/>
                <w:b/>
                <w:lang w:val="en-GB"/>
              </w:rPr>
              <w:t>(£)</w:t>
            </w:r>
            <w:r>
              <w:rPr>
                <w:rFonts w:ascii="Arial" w:hAnsi="Arial" w:cs="Arial"/>
                <w:b/>
              </w:rPr>
              <w:t xml:space="preserve"> </w:t>
            </w:r>
          </w:p>
        </w:tc>
        <w:tc>
          <w:tcPr>
            <w:tcW w:w="1021" w:type="dxa"/>
            <w:shd w:val="clear" w:color="auto" w:fill="F2F2F2" w:themeFill="background1" w:themeFillShade="F2"/>
          </w:tcPr>
          <w:p w:rsidR="00401DB8" w:rsidRPr="00F74CB1" w:rsidRDefault="00401DB8" w:rsidP="00401DB8">
            <w:pPr>
              <w:jc w:val="center"/>
              <w:rPr>
                <w:rFonts w:ascii="Arial" w:hAnsi="Arial" w:cs="Arial"/>
                <w:b/>
              </w:rPr>
            </w:pPr>
            <w:r w:rsidRPr="00F74CB1">
              <w:rPr>
                <w:rFonts w:ascii="Arial" w:hAnsi="Arial" w:cs="Arial"/>
                <w:b/>
              </w:rPr>
              <w:t>HB Monthly</w:t>
            </w:r>
            <w:r>
              <w:rPr>
                <w:rFonts w:ascii="Arial" w:hAnsi="Arial" w:cs="Arial"/>
                <w:b/>
              </w:rPr>
              <w:t xml:space="preserve"> </w:t>
            </w:r>
            <w:r w:rsidRPr="001D6825">
              <w:rPr>
                <w:rFonts w:ascii="Arial" w:hAnsi="Arial" w:cs="Arial"/>
                <w:b/>
                <w:lang w:val="en-GB"/>
              </w:rPr>
              <w:t>(£)</w:t>
            </w:r>
          </w:p>
        </w:tc>
        <w:tc>
          <w:tcPr>
            <w:tcW w:w="1069" w:type="dxa"/>
            <w:shd w:val="clear" w:color="auto" w:fill="F2F2F2" w:themeFill="background1" w:themeFillShade="F2"/>
          </w:tcPr>
          <w:p w:rsidR="00401DB8" w:rsidRDefault="00401DB8" w:rsidP="00401DB8">
            <w:pPr>
              <w:jc w:val="center"/>
              <w:rPr>
                <w:rFonts w:ascii="Arial" w:hAnsi="Arial" w:cs="Arial"/>
                <w:b/>
              </w:rPr>
            </w:pPr>
            <w:r>
              <w:rPr>
                <w:rFonts w:ascii="Arial" w:hAnsi="Arial" w:cs="Arial"/>
                <w:b/>
              </w:rPr>
              <w:t>Total Received (HB + UC + Wage)</w:t>
            </w:r>
          </w:p>
          <w:p w:rsidR="00401DB8" w:rsidRDefault="00401DB8" w:rsidP="00401DB8">
            <w:pPr>
              <w:jc w:val="center"/>
              <w:rPr>
                <w:rFonts w:ascii="Arial" w:hAnsi="Arial" w:cs="Arial"/>
                <w:b/>
              </w:rPr>
            </w:pPr>
            <w:r w:rsidRPr="001D6825">
              <w:rPr>
                <w:rFonts w:ascii="Arial" w:hAnsi="Arial" w:cs="Arial"/>
                <w:b/>
                <w:lang w:val="en-GB"/>
              </w:rPr>
              <w:t>(£)</w:t>
            </w:r>
            <w:r>
              <w:rPr>
                <w:rFonts w:ascii="Arial" w:hAnsi="Arial" w:cs="Arial"/>
                <w:b/>
              </w:rPr>
              <w:t xml:space="preserve"> </w:t>
            </w:r>
          </w:p>
        </w:tc>
      </w:tr>
      <w:tr w:rsidR="00401DB8" w:rsidRPr="00F74CB1" w:rsidTr="00401DB8">
        <w:trPr>
          <w:trHeight w:val="206"/>
          <w:jc w:val="center"/>
        </w:trPr>
        <w:tc>
          <w:tcPr>
            <w:tcW w:w="987" w:type="dxa"/>
          </w:tcPr>
          <w:p w:rsidR="00401DB8" w:rsidRPr="003222F8" w:rsidRDefault="00401DB8" w:rsidP="00401DB8">
            <w:pPr>
              <w:jc w:val="center"/>
            </w:pPr>
            <w:r>
              <w:t>20</w:t>
            </w:r>
          </w:p>
        </w:tc>
        <w:tc>
          <w:tcPr>
            <w:tcW w:w="1355" w:type="dxa"/>
          </w:tcPr>
          <w:p w:rsidR="00401DB8" w:rsidRPr="003222F8" w:rsidRDefault="00401DB8" w:rsidP="00401DB8">
            <w:pPr>
              <w:jc w:val="center"/>
            </w:pPr>
            <w:r w:rsidRPr="003222F8">
              <w:t>128.00</w:t>
            </w:r>
          </w:p>
        </w:tc>
        <w:tc>
          <w:tcPr>
            <w:tcW w:w="1120" w:type="dxa"/>
          </w:tcPr>
          <w:p w:rsidR="00401DB8" w:rsidRPr="003222F8" w:rsidRDefault="00401DB8" w:rsidP="00401DB8">
            <w:pPr>
              <w:jc w:val="center"/>
            </w:pPr>
            <w:r w:rsidRPr="003222F8">
              <w:t>554.67</w:t>
            </w:r>
          </w:p>
        </w:tc>
        <w:tc>
          <w:tcPr>
            <w:tcW w:w="1092" w:type="dxa"/>
          </w:tcPr>
          <w:p w:rsidR="00401DB8" w:rsidRPr="003222F8" w:rsidRDefault="00401DB8" w:rsidP="00401DB8">
            <w:pPr>
              <w:jc w:val="center"/>
            </w:pPr>
            <w:r w:rsidRPr="003222F8">
              <w:t>305.07</w:t>
            </w:r>
          </w:p>
        </w:tc>
        <w:tc>
          <w:tcPr>
            <w:tcW w:w="1005" w:type="dxa"/>
          </w:tcPr>
          <w:p w:rsidR="00401DB8" w:rsidRPr="003222F8" w:rsidRDefault="00401DB8" w:rsidP="00401DB8">
            <w:pPr>
              <w:jc w:val="center"/>
            </w:pPr>
            <w:r w:rsidRPr="003222F8">
              <w:t>6.61</w:t>
            </w:r>
          </w:p>
        </w:tc>
        <w:tc>
          <w:tcPr>
            <w:tcW w:w="1141" w:type="dxa"/>
          </w:tcPr>
          <w:p w:rsidR="00401DB8" w:rsidRPr="003222F8" w:rsidRDefault="00401DB8" w:rsidP="00401DB8">
            <w:pPr>
              <w:jc w:val="center"/>
            </w:pPr>
            <w:r>
              <w:t>0</w:t>
            </w:r>
          </w:p>
        </w:tc>
        <w:tc>
          <w:tcPr>
            <w:tcW w:w="1072" w:type="dxa"/>
          </w:tcPr>
          <w:p w:rsidR="00401DB8" w:rsidRPr="003222F8" w:rsidRDefault="00401DB8" w:rsidP="00401DB8">
            <w:pPr>
              <w:jc w:val="center"/>
            </w:pPr>
            <w:r w:rsidRPr="003222F8">
              <w:t>320.99</w:t>
            </w:r>
          </w:p>
        </w:tc>
        <w:tc>
          <w:tcPr>
            <w:tcW w:w="1021" w:type="dxa"/>
          </w:tcPr>
          <w:p w:rsidR="00401DB8" w:rsidRPr="00D51B41" w:rsidRDefault="00401DB8" w:rsidP="00401DB8">
            <w:pPr>
              <w:jc w:val="center"/>
            </w:pPr>
            <w:r w:rsidRPr="00D51B41">
              <w:t>1348.16</w:t>
            </w:r>
          </w:p>
        </w:tc>
        <w:tc>
          <w:tcPr>
            <w:tcW w:w="1069" w:type="dxa"/>
          </w:tcPr>
          <w:p w:rsidR="00401DB8" w:rsidRPr="00D51B41" w:rsidRDefault="00401DB8" w:rsidP="00401DB8">
            <w:pPr>
              <w:jc w:val="center"/>
            </w:pPr>
            <w:r w:rsidRPr="00D51B41">
              <w:t>1909.44</w:t>
            </w:r>
          </w:p>
        </w:tc>
      </w:tr>
      <w:tr w:rsidR="00401DB8" w:rsidRPr="00F74CB1" w:rsidTr="00401DB8">
        <w:trPr>
          <w:trHeight w:val="206"/>
          <w:jc w:val="center"/>
        </w:trPr>
        <w:tc>
          <w:tcPr>
            <w:tcW w:w="987" w:type="dxa"/>
          </w:tcPr>
          <w:p w:rsidR="00401DB8" w:rsidRPr="003222F8" w:rsidRDefault="00401DB8" w:rsidP="00401DB8">
            <w:pPr>
              <w:jc w:val="center"/>
            </w:pPr>
            <w:r>
              <w:t>21</w:t>
            </w:r>
          </w:p>
        </w:tc>
        <w:tc>
          <w:tcPr>
            <w:tcW w:w="1355" w:type="dxa"/>
          </w:tcPr>
          <w:p w:rsidR="00401DB8" w:rsidRPr="003222F8" w:rsidRDefault="00401DB8" w:rsidP="00401DB8">
            <w:pPr>
              <w:jc w:val="center"/>
            </w:pPr>
            <w:r w:rsidRPr="003222F8">
              <w:t>134.40</w:t>
            </w:r>
          </w:p>
        </w:tc>
        <w:tc>
          <w:tcPr>
            <w:tcW w:w="1120" w:type="dxa"/>
          </w:tcPr>
          <w:p w:rsidR="00401DB8" w:rsidRPr="003222F8" w:rsidRDefault="00401DB8" w:rsidP="00401DB8">
            <w:pPr>
              <w:jc w:val="center"/>
            </w:pPr>
            <w:r w:rsidRPr="003222F8">
              <w:t>582.40</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t>0</w:t>
            </w:r>
          </w:p>
        </w:tc>
        <w:tc>
          <w:tcPr>
            <w:tcW w:w="1141" w:type="dxa"/>
          </w:tcPr>
          <w:p w:rsidR="00401DB8" w:rsidRPr="003222F8" w:rsidRDefault="00401DB8" w:rsidP="00401DB8">
            <w:pPr>
              <w:jc w:val="center"/>
            </w:pPr>
            <w:r w:rsidRPr="003222F8">
              <w:t>37.51</w:t>
            </w:r>
          </w:p>
        </w:tc>
        <w:tc>
          <w:tcPr>
            <w:tcW w:w="1072" w:type="dxa"/>
          </w:tcPr>
          <w:p w:rsidR="00401DB8" w:rsidRPr="003222F8" w:rsidRDefault="00401DB8" w:rsidP="00401DB8">
            <w:pPr>
              <w:jc w:val="center"/>
            </w:pPr>
            <w:r w:rsidRPr="003222F8">
              <w:t>283.49</w:t>
            </w:r>
          </w:p>
        </w:tc>
        <w:tc>
          <w:tcPr>
            <w:tcW w:w="1021" w:type="dxa"/>
          </w:tcPr>
          <w:p w:rsidR="00401DB8" w:rsidRPr="00D51B41" w:rsidRDefault="00401DB8" w:rsidP="00401DB8">
            <w:pPr>
              <w:jc w:val="center"/>
            </w:pPr>
            <w:r w:rsidRPr="00D51B41">
              <w:t>1190.64</w:t>
            </w:r>
          </w:p>
        </w:tc>
        <w:tc>
          <w:tcPr>
            <w:tcW w:w="1069" w:type="dxa"/>
          </w:tcPr>
          <w:p w:rsidR="00401DB8" w:rsidRPr="001D6825" w:rsidRDefault="00401DB8" w:rsidP="00401DB8">
            <w:pPr>
              <w:jc w:val="center"/>
              <w:rPr>
                <w:b/>
              </w:rPr>
            </w:pPr>
            <w:r w:rsidRPr="001D6825">
              <w:rPr>
                <w:b/>
              </w:rPr>
              <w:t>1773.04</w:t>
            </w:r>
          </w:p>
        </w:tc>
      </w:tr>
      <w:tr w:rsidR="00401DB8" w:rsidRPr="00F74CB1" w:rsidTr="00401DB8">
        <w:trPr>
          <w:trHeight w:val="206"/>
          <w:jc w:val="center"/>
        </w:trPr>
        <w:tc>
          <w:tcPr>
            <w:tcW w:w="987" w:type="dxa"/>
          </w:tcPr>
          <w:p w:rsidR="00401DB8" w:rsidRPr="003222F8" w:rsidRDefault="00401DB8" w:rsidP="00401DB8">
            <w:pPr>
              <w:jc w:val="center"/>
            </w:pPr>
            <w:r>
              <w:t>22</w:t>
            </w:r>
          </w:p>
        </w:tc>
        <w:tc>
          <w:tcPr>
            <w:tcW w:w="1355" w:type="dxa"/>
          </w:tcPr>
          <w:p w:rsidR="00401DB8" w:rsidRPr="003222F8" w:rsidRDefault="00401DB8" w:rsidP="00401DB8">
            <w:pPr>
              <w:jc w:val="center"/>
            </w:pPr>
            <w:r w:rsidRPr="003222F8">
              <w:t>140.80</w:t>
            </w:r>
          </w:p>
        </w:tc>
        <w:tc>
          <w:tcPr>
            <w:tcW w:w="1120" w:type="dxa"/>
          </w:tcPr>
          <w:p w:rsidR="00401DB8" w:rsidRPr="003222F8" w:rsidRDefault="00401DB8" w:rsidP="00401DB8">
            <w:pPr>
              <w:jc w:val="center"/>
            </w:pPr>
            <w:r w:rsidRPr="003222F8">
              <w:t>610.13</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41.67</w:t>
            </w:r>
          </w:p>
        </w:tc>
        <w:tc>
          <w:tcPr>
            <w:tcW w:w="1072" w:type="dxa"/>
          </w:tcPr>
          <w:p w:rsidR="00401DB8" w:rsidRPr="003222F8" w:rsidRDefault="00401DB8" w:rsidP="00401DB8">
            <w:pPr>
              <w:jc w:val="center"/>
            </w:pPr>
            <w:r w:rsidRPr="003222F8">
              <w:t>279.33</w:t>
            </w:r>
          </w:p>
        </w:tc>
        <w:tc>
          <w:tcPr>
            <w:tcW w:w="1021" w:type="dxa"/>
          </w:tcPr>
          <w:p w:rsidR="00401DB8" w:rsidRPr="00D51B41" w:rsidRDefault="00401DB8" w:rsidP="00401DB8">
            <w:pPr>
              <w:jc w:val="center"/>
            </w:pPr>
            <w:r w:rsidRPr="00D51B41">
              <w:t>1173.17</w:t>
            </w:r>
          </w:p>
        </w:tc>
        <w:tc>
          <w:tcPr>
            <w:tcW w:w="1069" w:type="dxa"/>
          </w:tcPr>
          <w:p w:rsidR="00401DB8" w:rsidRPr="001D6825" w:rsidRDefault="00401DB8" w:rsidP="00401DB8">
            <w:pPr>
              <w:jc w:val="center"/>
              <w:rPr>
                <w:b/>
              </w:rPr>
            </w:pPr>
            <w:r w:rsidRPr="001D6825">
              <w:rPr>
                <w:b/>
              </w:rPr>
              <w:t>1783.30</w:t>
            </w:r>
          </w:p>
        </w:tc>
      </w:tr>
      <w:tr w:rsidR="00401DB8" w:rsidRPr="00F74CB1" w:rsidTr="00401DB8">
        <w:trPr>
          <w:trHeight w:val="206"/>
          <w:jc w:val="center"/>
        </w:trPr>
        <w:tc>
          <w:tcPr>
            <w:tcW w:w="987" w:type="dxa"/>
          </w:tcPr>
          <w:p w:rsidR="00401DB8" w:rsidRPr="003222F8" w:rsidRDefault="00401DB8" w:rsidP="00401DB8">
            <w:pPr>
              <w:jc w:val="center"/>
            </w:pPr>
            <w:r>
              <w:t>23</w:t>
            </w:r>
          </w:p>
        </w:tc>
        <w:tc>
          <w:tcPr>
            <w:tcW w:w="1355" w:type="dxa"/>
          </w:tcPr>
          <w:p w:rsidR="00401DB8" w:rsidRPr="003222F8" w:rsidRDefault="00401DB8" w:rsidP="00401DB8">
            <w:pPr>
              <w:jc w:val="center"/>
            </w:pPr>
            <w:r w:rsidRPr="003222F8">
              <w:t>147.20</w:t>
            </w:r>
          </w:p>
        </w:tc>
        <w:tc>
          <w:tcPr>
            <w:tcW w:w="1120" w:type="dxa"/>
          </w:tcPr>
          <w:p w:rsidR="00401DB8" w:rsidRPr="003222F8" w:rsidRDefault="00401DB8" w:rsidP="00401DB8">
            <w:pPr>
              <w:jc w:val="center"/>
            </w:pPr>
            <w:r w:rsidRPr="003222F8">
              <w:t>637.87</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45.83</w:t>
            </w:r>
          </w:p>
        </w:tc>
        <w:tc>
          <w:tcPr>
            <w:tcW w:w="1072" w:type="dxa"/>
          </w:tcPr>
          <w:p w:rsidR="00401DB8" w:rsidRPr="003222F8" w:rsidRDefault="00401DB8" w:rsidP="00401DB8">
            <w:pPr>
              <w:jc w:val="center"/>
            </w:pPr>
            <w:r w:rsidRPr="003222F8">
              <w:t>275.17</w:t>
            </w:r>
          </w:p>
        </w:tc>
        <w:tc>
          <w:tcPr>
            <w:tcW w:w="1021" w:type="dxa"/>
          </w:tcPr>
          <w:p w:rsidR="00401DB8" w:rsidRPr="00D51B41" w:rsidRDefault="00401DB8" w:rsidP="00401DB8">
            <w:pPr>
              <w:jc w:val="center"/>
            </w:pPr>
            <w:r w:rsidRPr="00D51B41">
              <w:t>1155.69</w:t>
            </w:r>
          </w:p>
        </w:tc>
        <w:tc>
          <w:tcPr>
            <w:tcW w:w="1069" w:type="dxa"/>
          </w:tcPr>
          <w:p w:rsidR="00401DB8" w:rsidRPr="001D6825" w:rsidRDefault="00401DB8" w:rsidP="00401DB8">
            <w:pPr>
              <w:jc w:val="center"/>
              <w:rPr>
                <w:b/>
              </w:rPr>
            </w:pPr>
            <w:r w:rsidRPr="001D6825">
              <w:rPr>
                <w:b/>
              </w:rPr>
              <w:t>1793.56</w:t>
            </w:r>
          </w:p>
        </w:tc>
      </w:tr>
      <w:tr w:rsidR="00401DB8" w:rsidRPr="00F74CB1" w:rsidTr="00401DB8">
        <w:trPr>
          <w:trHeight w:val="206"/>
          <w:jc w:val="center"/>
        </w:trPr>
        <w:tc>
          <w:tcPr>
            <w:tcW w:w="987" w:type="dxa"/>
          </w:tcPr>
          <w:p w:rsidR="00401DB8" w:rsidRPr="003222F8" w:rsidRDefault="00401DB8" w:rsidP="00401DB8">
            <w:pPr>
              <w:jc w:val="center"/>
            </w:pPr>
            <w:r>
              <w:t>24</w:t>
            </w:r>
          </w:p>
        </w:tc>
        <w:tc>
          <w:tcPr>
            <w:tcW w:w="1355" w:type="dxa"/>
          </w:tcPr>
          <w:p w:rsidR="00401DB8" w:rsidRPr="003222F8" w:rsidRDefault="00401DB8" w:rsidP="00401DB8">
            <w:pPr>
              <w:jc w:val="center"/>
            </w:pPr>
            <w:r w:rsidRPr="003222F8">
              <w:t>153.60</w:t>
            </w:r>
          </w:p>
        </w:tc>
        <w:tc>
          <w:tcPr>
            <w:tcW w:w="1120" w:type="dxa"/>
          </w:tcPr>
          <w:p w:rsidR="00401DB8" w:rsidRPr="003222F8" w:rsidRDefault="00401DB8" w:rsidP="00401DB8">
            <w:pPr>
              <w:jc w:val="center"/>
            </w:pPr>
            <w:r w:rsidRPr="003222F8">
              <w:t>665.60</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49.99</w:t>
            </w:r>
          </w:p>
        </w:tc>
        <w:tc>
          <w:tcPr>
            <w:tcW w:w="1072" w:type="dxa"/>
          </w:tcPr>
          <w:p w:rsidR="00401DB8" w:rsidRPr="003222F8" w:rsidRDefault="00401DB8" w:rsidP="00401DB8">
            <w:pPr>
              <w:jc w:val="center"/>
            </w:pPr>
            <w:r w:rsidRPr="003222F8">
              <w:t>271.01</w:t>
            </w:r>
          </w:p>
        </w:tc>
        <w:tc>
          <w:tcPr>
            <w:tcW w:w="1021" w:type="dxa"/>
          </w:tcPr>
          <w:p w:rsidR="00401DB8" w:rsidRPr="00D51B41" w:rsidRDefault="00401DB8" w:rsidP="00401DB8">
            <w:pPr>
              <w:jc w:val="center"/>
            </w:pPr>
            <w:r w:rsidRPr="00D51B41">
              <w:t>1138.22</w:t>
            </w:r>
          </w:p>
        </w:tc>
        <w:tc>
          <w:tcPr>
            <w:tcW w:w="1069" w:type="dxa"/>
          </w:tcPr>
          <w:p w:rsidR="00401DB8" w:rsidRPr="001D6825" w:rsidRDefault="00401DB8" w:rsidP="00401DB8">
            <w:pPr>
              <w:jc w:val="center"/>
              <w:rPr>
                <w:b/>
              </w:rPr>
            </w:pPr>
            <w:r w:rsidRPr="001D6825">
              <w:rPr>
                <w:b/>
              </w:rPr>
              <w:t>1803.82</w:t>
            </w:r>
          </w:p>
        </w:tc>
      </w:tr>
      <w:tr w:rsidR="00401DB8" w:rsidRPr="00F74CB1" w:rsidTr="00401DB8">
        <w:trPr>
          <w:trHeight w:val="206"/>
          <w:jc w:val="center"/>
        </w:trPr>
        <w:tc>
          <w:tcPr>
            <w:tcW w:w="987" w:type="dxa"/>
          </w:tcPr>
          <w:p w:rsidR="00401DB8" w:rsidRPr="003222F8" w:rsidRDefault="00401DB8" w:rsidP="00401DB8">
            <w:pPr>
              <w:jc w:val="center"/>
            </w:pPr>
            <w:r>
              <w:t>25</w:t>
            </w:r>
          </w:p>
        </w:tc>
        <w:tc>
          <w:tcPr>
            <w:tcW w:w="1355" w:type="dxa"/>
          </w:tcPr>
          <w:p w:rsidR="00401DB8" w:rsidRPr="003222F8" w:rsidRDefault="00401DB8" w:rsidP="00401DB8">
            <w:pPr>
              <w:jc w:val="center"/>
            </w:pPr>
            <w:r w:rsidRPr="003222F8">
              <w:t>160.00</w:t>
            </w:r>
          </w:p>
        </w:tc>
        <w:tc>
          <w:tcPr>
            <w:tcW w:w="1120" w:type="dxa"/>
          </w:tcPr>
          <w:p w:rsidR="00401DB8" w:rsidRPr="003222F8" w:rsidRDefault="00401DB8" w:rsidP="00401DB8">
            <w:pPr>
              <w:jc w:val="center"/>
            </w:pPr>
            <w:r w:rsidRPr="003222F8">
              <w:t>693.33</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54.15</w:t>
            </w:r>
          </w:p>
        </w:tc>
        <w:tc>
          <w:tcPr>
            <w:tcW w:w="1072" w:type="dxa"/>
          </w:tcPr>
          <w:p w:rsidR="00401DB8" w:rsidRPr="003222F8" w:rsidRDefault="00401DB8" w:rsidP="00401DB8">
            <w:pPr>
              <w:jc w:val="center"/>
            </w:pPr>
            <w:r w:rsidRPr="003222F8">
              <w:t>266.85</w:t>
            </w:r>
          </w:p>
        </w:tc>
        <w:tc>
          <w:tcPr>
            <w:tcW w:w="1021" w:type="dxa"/>
          </w:tcPr>
          <w:p w:rsidR="00401DB8" w:rsidRPr="00D51B41" w:rsidRDefault="00401DB8" w:rsidP="00401DB8">
            <w:pPr>
              <w:jc w:val="center"/>
            </w:pPr>
            <w:r w:rsidRPr="00D51B41">
              <w:t>1120.75</w:t>
            </w:r>
          </w:p>
        </w:tc>
        <w:tc>
          <w:tcPr>
            <w:tcW w:w="1069" w:type="dxa"/>
          </w:tcPr>
          <w:p w:rsidR="00401DB8" w:rsidRPr="001D6825" w:rsidRDefault="00401DB8" w:rsidP="00401DB8">
            <w:pPr>
              <w:jc w:val="center"/>
              <w:rPr>
                <w:b/>
              </w:rPr>
            </w:pPr>
            <w:r w:rsidRPr="001D6825">
              <w:rPr>
                <w:b/>
              </w:rPr>
              <w:t>1814.08</w:t>
            </w:r>
          </w:p>
        </w:tc>
      </w:tr>
      <w:tr w:rsidR="00401DB8" w:rsidRPr="00F74CB1" w:rsidTr="00401DB8">
        <w:trPr>
          <w:trHeight w:val="206"/>
          <w:jc w:val="center"/>
        </w:trPr>
        <w:tc>
          <w:tcPr>
            <w:tcW w:w="987" w:type="dxa"/>
          </w:tcPr>
          <w:p w:rsidR="00401DB8" w:rsidRPr="003222F8" w:rsidRDefault="00401DB8" w:rsidP="00401DB8">
            <w:pPr>
              <w:jc w:val="center"/>
            </w:pPr>
            <w:r>
              <w:t>26</w:t>
            </w:r>
          </w:p>
        </w:tc>
        <w:tc>
          <w:tcPr>
            <w:tcW w:w="1355" w:type="dxa"/>
          </w:tcPr>
          <w:p w:rsidR="00401DB8" w:rsidRPr="003222F8" w:rsidRDefault="00401DB8" w:rsidP="00401DB8">
            <w:pPr>
              <w:jc w:val="center"/>
            </w:pPr>
            <w:r w:rsidRPr="003222F8">
              <w:t>166.40</w:t>
            </w:r>
          </w:p>
        </w:tc>
        <w:tc>
          <w:tcPr>
            <w:tcW w:w="1120" w:type="dxa"/>
          </w:tcPr>
          <w:p w:rsidR="00401DB8" w:rsidRPr="003222F8" w:rsidRDefault="00401DB8" w:rsidP="00401DB8">
            <w:pPr>
              <w:jc w:val="center"/>
            </w:pPr>
            <w:r w:rsidRPr="003222F8">
              <w:t>721.07</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58.31</w:t>
            </w:r>
          </w:p>
        </w:tc>
        <w:tc>
          <w:tcPr>
            <w:tcW w:w="1072" w:type="dxa"/>
          </w:tcPr>
          <w:p w:rsidR="00401DB8" w:rsidRPr="003222F8" w:rsidRDefault="00401DB8" w:rsidP="00401DB8">
            <w:pPr>
              <w:jc w:val="center"/>
            </w:pPr>
            <w:r w:rsidRPr="003222F8">
              <w:t>262.69</w:t>
            </w:r>
          </w:p>
        </w:tc>
        <w:tc>
          <w:tcPr>
            <w:tcW w:w="1021" w:type="dxa"/>
          </w:tcPr>
          <w:p w:rsidR="00401DB8" w:rsidRPr="00D51B41" w:rsidRDefault="00401DB8" w:rsidP="00401DB8">
            <w:pPr>
              <w:jc w:val="center"/>
            </w:pPr>
            <w:r w:rsidRPr="00D51B41">
              <w:t>1103.28</w:t>
            </w:r>
          </w:p>
        </w:tc>
        <w:tc>
          <w:tcPr>
            <w:tcW w:w="1069" w:type="dxa"/>
          </w:tcPr>
          <w:p w:rsidR="00401DB8" w:rsidRPr="001D6825" w:rsidRDefault="00401DB8" w:rsidP="00401DB8">
            <w:pPr>
              <w:jc w:val="center"/>
              <w:rPr>
                <w:b/>
              </w:rPr>
            </w:pPr>
            <w:r w:rsidRPr="001D6825">
              <w:rPr>
                <w:b/>
              </w:rPr>
              <w:t>1824.34</w:t>
            </w:r>
          </w:p>
        </w:tc>
      </w:tr>
      <w:tr w:rsidR="00401DB8" w:rsidRPr="00F74CB1" w:rsidTr="00401DB8">
        <w:trPr>
          <w:trHeight w:val="206"/>
          <w:jc w:val="center"/>
        </w:trPr>
        <w:tc>
          <w:tcPr>
            <w:tcW w:w="987" w:type="dxa"/>
          </w:tcPr>
          <w:p w:rsidR="00401DB8" w:rsidRPr="003222F8" w:rsidRDefault="00401DB8" w:rsidP="00401DB8">
            <w:pPr>
              <w:jc w:val="center"/>
            </w:pPr>
            <w:r>
              <w:t>27</w:t>
            </w:r>
          </w:p>
        </w:tc>
        <w:tc>
          <w:tcPr>
            <w:tcW w:w="1355" w:type="dxa"/>
          </w:tcPr>
          <w:p w:rsidR="00401DB8" w:rsidRPr="003222F8" w:rsidRDefault="00401DB8" w:rsidP="00401DB8">
            <w:pPr>
              <w:jc w:val="center"/>
            </w:pPr>
            <w:r w:rsidRPr="003222F8">
              <w:t>172.80</w:t>
            </w:r>
          </w:p>
        </w:tc>
        <w:tc>
          <w:tcPr>
            <w:tcW w:w="1120" w:type="dxa"/>
          </w:tcPr>
          <w:p w:rsidR="00401DB8" w:rsidRPr="003222F8" w:rsidRDefault="00401DB8" w:rsidP="00401DB8">
            <w:pPr>
              <w:jc w:val="center"/>
            </w:pPr>
            <w:r w:rsidRPr="003222F8">
              <w:t>748.80</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62.47</w:t>
            </w:r>
          </w:p>
        </w:tc>
        <w:tc>
          <w:tcPr>
            <w:tcW w:w="1072" w:type="dxa"/>
          </w:tcPr>
          <w:p w:rsidR="00401DB8" w:rsidRPr="003222F8" w:rsidRDefault="00401DB8" w:rsidP="00401DB8">
            <w:pPr>
              <w:jc w:val="center"/>
            </w:pPr>
            <w:r w:rsidRPr="003222F8">
              <w:t>258.53</w:t>
            </w:r>
          </w:p>
        </w:tc>
        <w:tc>
          <w:tcPr>
            <w:tcW w:w="1021" w:type="dxa"/>
          </w:tcPr>
          <w:p w:rsidR="00401DB8" w:rsidRPr="00D51B41" w:rsidRDefault="00401DB8" w:rsidP="00401DB8">
            <w:pPr>
              <w:jc w:val="center"/>
            </w:pPr>
            <w:r w:rsidRPr="00D51B41">
              <w:t>1085.81</w:t>
            </w:r>
          </w:p>
        </w:tc>
        <w:tc>
          <w:tcPr>
            <w:tcW w:w="1069" w:type="dxa"/>
          </w:tcPr>
          <w:p w:rsidR="00401DB8" w:rsidRPr="001D6825" w:rsidRDefault="00401DB8" w:rsidP="00401DB8">
            <w:pPr>
              <w:jc w:val="center"/>
              <w:rPr>
                <w:b/>
              </w:rPr>
            </w:pPr>
            <w:r w:rsidRPr="001D6825">
              <w:rPr>
                <w:b/>
              </w:rPr>
              <w:t>1834.61</w:t>
            </w:r>
          </w:p>
        </w:tc>
      </w:tr>
      <w:tr w:rsidR="00401DB8" w:rsidRPr="00F74CB1" w:rsidTr="00401DB8">
        <w:trPr>
          <w:trHeight w:val="206"/>
          <w:jc w:val="center"/>
        </w:trPr>
        <w:tc>
          <w:tcPr>
            <w:tcW w:w="987" w:type="dxa"/>
          </w:tcPr>
          <w:p w:rsidR="00401DB8" w:rsidRPr="003222F8" w:rsidRDefault="00401DB8" w:rsidP="00401DB8">
            <w:pPr>
              <w:jc w:val="center"/>
            </w:pPr>
            <w:r>
              <w:t>28</w:t>
            </w:r>
          </w:p>
        </w:tc>
        <w:tc>
          <w:tcPr>
            <w:tcW w:w="1355" w:type="dxa"/>
          </w:tcPr>
          <w:p w:rsidR="00401DB8" w:rsidRPr="003222F8" w:rsidRDefault="00401DB8" w:rsidP="00401DB8">
            <w:pPr>
              <w:jc w:val="center"/>
            </w:pPr>
            <w:r w:rsidRPr="003222F8">
              <w:t>179.20</w:t>
            </w:r>
          </w:p>
        </w:tc>
        <w:tc>
          <w:tcPr>
            <w:tcW w:w="1120" w:type="dxa"/>
          </w:tcPr>
          <w:p w:rsidR="00401DB8" w:rsidRPr="003222F8" w:rsidRDefault="00401DB8" w:rsidP="00401DB8">
            <w:pPr>
              <w:jc w:val="center"/>
            </w:pPr>
            <w:r w:rsidRPr="003222F8">
              <w:t>776.53</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66.63</w:t>
            </w:r>
          </w:p>
        </w:tc>
        <w:tc>
          <w:tcPr>
            <w:tcW w:w="1072" w:type="dxa"/>
          </w:tcPr>
          <w:p w:rsidR="00401DB8" w:rsidRPr="003222F8" w:rsidRDefault="00401DB8" w:rsidP="00401DB8">
            <w:pPr>
              <w:jc w:val="center"/>
            </w:pPr>
            <w:r w:rsidRPr="003222F8">
              <w:t>254.37</w:t>
            </w:r>
          </w:p>
        </w:tc>
        <w:tc>
          <w:tcPr>
            <w:tcW w:w="1021" w:type="dxa"/>
          </w:tcPr>
          <w:p w:rsidR="00401DB8" w:rsidRPr="00D51B41" w:rsidRDefault="00401DB8" w:rsidP="00401DB8">
            <w:pPr>
              <w:jc w:val="center"/>
            </w:pPr>
            <w:r w:rsidRPr="00D51B41">
              <w:t>1068.33</w:t>
            </w:r>
          </w:p>
        </w:tc>
        <w:tc>
          <w:tcPr>
            <w:tcW w:w="1069" w:type="dxa"/>
          </w:tcPr>
          <w:p w:rsidR="00401DB8" w:rsidRPr="001D6825" w:rsidRDefault="00401DB8" w:rsidP="00401DB8">
            <w:pPr>
              <w:jc w:val="center"/>
              <w:rPr>
                <w:b/>
              </w:rPr>
            </w:pPr>
            <w:r w:rsidRPr="001D6825">
              <w:rPr>
                <w:b/>
              </w:rPr>
              <w:t>1844.87</w:t>
            </w:r>
          </w:p>
        </w:tc>
      </w:tr>
      <w:tr w:rsidR="00401DB8" w:rsidRPr="00F74CB1" w:rsidTr="00401DB8">
        <w:trPr>
          <w:trHeight w:val="206"/>
          <w:jc w:val="center"/>
        </w:trPr>
        <w:tc>
          <w:tcPr>
            <w:tcW w:w="987" w:type="dxa"/>
          </w:tcPr>
          <w:p w:rsidR="00401DB8" w:rsidRPr="003222F8" w:rsidRDefault="00401DB8" w:rsidP="00401DB8">
            <w:pPr>
              <w:jc w:val="center"/>
            </w:pPr>
            <w:r>
              <w:t>29</w:t>
            </w:r>
          </w:p>
        </w:tc>
        <w:tc>
          <w:tcPr>
            <w:tcW w:w="1355" w:type="dxa"/>
          </w:tcPr>
          <w:p w:rsidR="00401DB8" w:rsidRPr="003222F8" w:rsidRDefault="00401DB8" w:rsidP="00401DB8">
            <w:pPr>
              <w:jc w:val="center"/>
            </w:pPr>
            <w:r w:rsidRPr="003222F8">
              <w:t>185.60</w:t>
            </w:r>
          </w:p>
        </w:tc>
        <w:tc>
          <w:tcPr>
            <w:tcW w:w="1120" w:type="dxa"/>
          </w:tcPr>
          <w:p w:rsidR="00401DB8" w:rsidRPr="003222F8" w:rsidRDefault="00401DB8" w:rsidP="00401DB8">
            <w:pPr>
              <w:jc w:val="center"/>
            </w:pPr>
            <w:r w:rsidRPr="003222F8">
              <w:t>804.27</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70.79</w:t>
            </w:r>
          </w:p>
        </w:tc>
        <w:tc>
          <w:tcPr>
            <w:tcW w:w="1072" w:type="dxa"/>
          </w:tcPr>
          <w:p w:rsidR="00401DB8" w:rsidRPr="003222F8" w:rsidRDefault="00401DB8" w:rsidP="00401DB8">
            <w:pPr>
              <w:jc w:val="center"/>
            </w:pPr>
            <w:r w:rsidRPr="003222F8">
              <w:t>250.21</w:t>
            </w:r>
          </w:p>
        </w:tc>
        <w:tc>
          <w:tcPr>
            <w:tcW w:w="1021" w:type="dxa"/>
          </w:tcPr>
          <w:p w:rsidR="00401DB8" w:rsidRPr="00D51B41" w:rsidRDefault="00401DB8" w:rsidP="00401DB8">
            <w:pPr>
              <w:jc w:val="center"/>
            </w:pPr>
            <w:r w:rsidRPr="00D51B41">
              <w:t>1050.86</w:t>
            </w:r>
          </w:p>
        </w:tc>
        <w:tc>
          <w:tcPr>
            <w:tcW w:w="1069" w:type="dxa"/>
          </w:tcPr>
          <w:p w:rsidR="00401DB8" w:rsidRPr="001D6825" w:rsidRDefault="00401DB8" w:rsidP="00401DB8">
            <w:pPr>
              <w:jc w:val="center"/>
              <w:rPr>
                <w:b/>
              </w:rPr>
            </w:pPr>
            <w:r w:rsidRPr="001D6825">
              <w:rPr>
                <w:b/>
              </w:rPr>
              <w:t>1855.13</w:t>
            </w:r>
          </w:p>
        </w:tc>
      </w:tr>
      <w:tr w:rsidR="00401DB8" w:rsidRPr="00F74CB1" w:rsidTr="00401DB8">
        <w:trPr>
          <w:trHeight w:val="206"/>
          <w:jc w:val="center"/>
        </w:trPr>
        <w:tc>
          <w:tcPr>
            <w:tcW w:w="987" w:type="dxa"/>
          </w:tcPr>
          <w:p w:rsidR="00401DB8" w:rsidRPr="003222F8" w:rsidRDefault="00401DB8" w:rsidP="00401DB8">
            <w:pPr>
              <w:jc w:val="center"/>
            </w:pPr>
            <w:r>
              <w:t>30</w:t>
            </w:r>
          </w:p>
        </w:tc>
        <w:tc>
          <w:tcPr>
            <w:tcW w:w="1355" w:type="dxa"/>
          </w:tcPr>
          <w:p w:rsidR="00401DB8" w:rsidRPr="003222F8" w:rsidRDefault="00401DB8" w:rsidP="00401DB8">
            <w:pPr>
              <w:jc w:val="center"/>
            </w:pPr>
            <w:r w:rsidRPr="003222F8">
              <w:t>192.00</w:t>
            </w:r>
          </w:p>
        </w:tc>
        <w:tc>
          <w:tcPr>
            <w:tcW w:w="1120" w:type="dxa"/>
          </w:tcPr>
          <w:p w:rsidR="00401DB8" w:rsidRPr="003222F8" w:rsidRDefault="00401DB8" w:rsidP="00401DB8">
            <w:pPr>
              <w:jc w:val="center"/>
            </w:pPr>
            <w:r w:rsidRPr="003222F8">
              <w:t>832.00</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74.95</w:t>
            </w:r>
          </w:p>
        </w:tc>
        <w:tc>
          <w:tcPr>
            <w:tcW w:w="1072" w:type="dxa"/>
          </w:tcPr>
          <w:p w:rsidR="00401DB8" w:rsidRPr="003222F8" w:rsidRDefault="00401DB8" w:rsidP="00401DB8">
            <w:pPr>
              <w:jc w:val="center"/>
            </w:pPr>
            <w:r w:rsidRPr="003222F8">
              <w:t>246.05</w:t>
            </w:r>
          </w:p>
        </w:tc>
        <w:tc>
          <w:tcPr>
            <w:tcW w:w="1021" w:type="dxa"/>
          </w:tcPr>
          <w:p w:rsidR="00401DB8" w:rsidRPr="00D51B41" w:rsidRDefault="00401DB8" w:rsidP="00401DB8">
            <w:pPr>
              <w:jc w:val="center"/>
            </w:pPr>
            <w:r w:rsidRPr="00D51B41">
              <w:t>1033.39</w:t>
            </w:r>
          </w:p>
        </w:tc>
        <w:tc>
          <w:tcPr>
            <w:tcW w:w="1069" w:type="dxa"/>
          </w:tcPr>
          <w:p w:rsidR="00401DB8" w:rsidRPr="001D6825" w:rsidRDefault="00401DB8" w:rsidP="00401DB8">
            <w:pPr>
              <w:jc w:val="center"/>
              <w:rPr>
                <w:b/>
              </w:rPr>
            </w:pPr>
            <w:r w:rsidRPr="001D6825">
              <w:rPr>
                <w:b/>
              </w:rPr>
              <w:t>1865.39</w:t>
            </w:r>
          </w:p>
        </w:tc>
      </w:tr>
      <w:tr w:rsidR="00401DB8" w:rsidRPr="00F74CB1" w:rsidTr="00401DB8">
        <w:trPr>
          <w:trHeight w:val="206"/>
          <w:jc w:val="center"/>
        </w:trPr>
        <w:tc>
          <w:tcPr>
            <w:tcW w:w="987" w:type="dxa"/>
          </w:tcPr>
          <w:p w:rsidR="00401DB8" w:rsidRPr="003222F8" w:rsidRDefault="00401DB8" w:rsidP="00401DB8">
            <w:pPr>
              <w:jc w:val="center"/>
            </w:pPr>
            <w:r>
              <w:t>31</w:t>
            </w:r>
          </w:p>
        </w:tc>
        <w:tc>
          <w:tcPr>
            <w:tcW w:w="1355" w:type="dxa"/>
          </w:tcPr>
          <w:p w:rsidR="00401DB8" w:rsidRPr="003222F8" w:rsidRDefault="00401DB8" w:rsidP="00401DB8">
            <w:pPr>
              <w:jc w:val="center"/>
            </w:pPr>
            <w:r w:rsidRPr="003222F8">
              <w:t>198.40</w:t>
            </w:r>
          </w:p>
        </w:tc>
        <w:tc>
          <w:tcPr>
            <w:tcW w:w="1120" w:type="dxa"/>
          </w:tcPr>
          <w:p w:rsidR="00401DB8" w:rsidRPr="003222F8" w:rsidRDefault="00401DB8" w:rsidP="00401DB8">
            <w:pPr>
              <w:jc w:val="center"/>
            </w:pPr>
            <w:r w:rsidRPr="003222F8">
              <w:t>859.73</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79.11</w:t>
            </w:r>
          </w:p>
        </w:tc>
        <w:tc>
          <w:tcPr>
            <w:tcW w:w="1072" w:type="dxa"/>
          </w:tcPr>
          <w:p w:rsidR="00401DB8" w:rsidRPr="003222F8" w:rsidRDefault="00401DB8" w:rsidP="00401DB8">
            <w:pPr>
              <w:jc w:val="center"/>
            </w:pPr>
            <w:r w:rsidRPr="003222F8">
              <w:t>241.89</w:t>
            </w:r>
          </w:p>
        </w:tc>
        <w:tc>
          <w:tcPr>
            <w:tcW w:w="1021" w:type="dxa"/>
          </w:tcPr>
          <w:p w:rsidR="00401DB8" w:rsidRPr="00D51B41" w:rsidRDefault="00401DB8" w:rsidP="00401DB8">
            <w:pPr>
              <w:jc w:val="center"/>
            </w:pPr>
            <w:r w:rsidRPr="00D51B41">
              <w:t>1015.92</w:t>
            </w:r>
          </w:p>
        </w:tc>
        <w:tc>
          <w:tcPr>
            <w:tcW w:w="1069" w:type="dxa"/>
          </w:tcPr>
          <w:p w:rsidR="00401DB8" w:rsidRPr="001D6825" w:rsidRDefault="00401DB8" w:rsidP="00401DB8">
            <w:pPr>
              <w:jc w:val="center"/>
              <w:rPr>
                <w:b/>
              </w:rPr>
            </w:pPr>
            <w:r w:rsidRPr="001D6825">
              <w:rPr>
                <w:b/>
              </w:rPr>
              <w:t>1875.65</w:t>
            </w:r>
          </w:p>
        </w:tc>
      </w:tr>
      <w:tr w:rsidR="00401DB8" w:rsidRPr="00F74CB1" w:rsidTr="00401DB8">
        <w:trPr>
          <w:trHeight w:val="206"/>
          <w:jc w:val="center"/>
        </w:trPr>
        <w:tc>
          <w:tcPr>
            <w:tcW w:w="987" w:type="dxa"/>
          </w:tcPr>
          <w:p w:rsidR="00401DB8" w:rsidRPr="003222F8" w:rsidRDefault="00401DB8" w:rsidP="00401DB8">
            <w:pPr>
              <w:jc w:val="center"/>
            </w:pPr>
            <w:r>
              <w:t>32</w:t>
            </w:r>
          </w:p>
        </w:tc>
        <w:tc>
          <w:tcPr>
            <w:tcW w:w="1355" w:type="dxa"/>
          </w:tcPr>
          <w:p w:rsidR="00401DB8" w:rsidRPr="003222F8" w:rsidRDefault="00401DB8" w:rsidP="00401DB8">
            <w:pPr>
              <w:jc w:val="center"/>
            </w:pPr>
            <w:r w:rsidRPr="003222F8">
              <w:t>204.80</w:t>
            </w:r>
          </w:p>
        </w:tc>
        <w:tc>
          <w:tcPr>
            <w:tcW w:w="1120" w:type="dxa"/>
          </w:tcPr>
          <w:p w:rsidR="00401DB8" w:rsidRPr="003222F8" w:rsidRDefault="00401DB8" w:rsidP="00401DB8">
            <w:pPr>
              <w:jc w:val="center"/>
            </w:pPr>
            <w:r w:rsidRPr="003222F8">
              <w:t>887.47</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83.27</w:t>
            </w:r>
          </w:p>
        </w:tc>
        <w:tc>
          <w:tcPr>
            <w:tcW w:w="1072" w:type="dxa"/>
          </w:tcPr>
          <w:p w:rsidR="00401DB8" w:rsidRPr="003222F8" w:rsidRDefault="00401DB8" w:rsidP="00401DB8">
            <w:pPr>
              <w:jc w:val="center"/>
            </w:pPr>
            <w:r w:rsidRPr="003222F8">
              <w:t>237.73</w:t>
            </w:r>
          </w:p>
        </w:tc>
        <w:tc>
          <w:tcPr>
            <w:tcW w:w="1021" w:type="dxa"/>
          </w:tcPr>
          <w:p w:rsidR="00401DB8" w:rsidRPr="00D51B41" w:rsidRDefault="00401DB8" w:rsidP="00401DB8">
            <w:pPr>
              <w:jc w:val="center"/>
            </w:pPr>
            <w:r w:rsidRPr="00D51B41">
              <w:t>998.45</w:t>
            </w:r>
          </w:p>
        </w:tc>
        <w:tc>
          <w:tcPr>
            <w:tcW w:w="1069" w:type="dxa"/>
          </w:tcPr>
          <w:p w:rsidR="00401DB8" w:rsidRPr="001D6825" w:rsidRDefault="00401DB8" w:rsidP="00401DB8">
            <w:pPr>
              <w:jc w:val="center"/>
              <w:rPr>
                <w:b/>
              </w:rPr>
            </w:pPr>
            <w:r w:rsidRPr="001D6825">
              <w:rPr>
                <w:b/>
              </w:rPr>
              <w:t>1885.91</w:t>
            </w:r>
          </w:p>
        </w:tc>
      </w:tr>
      <w:tr w:rsidR="00401DB8" w:rsidRPr="00F74CB1" w:rsidTr="00401DB8">
        <w:trPr>
          <w:trHeight w:val="206"/>
          <w:jc w:val="center"/>
        </w:trPr>
        <w:tc>
          <w:tcPr>
            <w:tcW w:w="987" w:type="dxa"/>
          </w:tcPr>
          <w:p w:rsidR="00401DB8" w:rsidRPr="003222F8" w:rsidRDefault="00401DB8" w:rsidP="00401DB8">
            <w:pPr>
              <w:jc w:val="center"/>
            </w:pPr>
            <w:r>
              <w:t>33</w:t>
            </w:r>
          </w:p>
        </w:tc>
        <w:tc>
          <w:tcPr>
            <w:tcW w:w="1355" w:type="dxa"/>
          </w:tcPr>
          <w:p w:rsidR="00401DB8" w:rsidRPr="003222F8" w:rsidRDefault="00401DB8" w:rsidP="00401DB8">
            <w:pPr>
              <w:jc w:val="center"/>
            </w:pPr>
            <w:r w:rsidRPr="003222F8">
              <w:t>211.20</w:t>
            </w:r>
          </w:p>
        </w:tc>
        <w:tc>
          <w:tcPr>
            <w:tcW w:w="1120" w:type="dxa"/>
          </w:tcPr>
          <w:p w:rsidR="00401DB8" w:rsidRPr="003222F8" w:rsidRDefault="00401DB8" w:rsidP="00401DB8">
            <w:pPr>
              <w:jc w:val="center"/>
            </w:pPr>
            <w:r w:rsidRPr="003222F8">
              <w:t>915.20</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87.43</w:t>
            </w:r>
          </w:p>
        </w:tc>
        <w:tc>
          <w:tcPr>
            <w:tcW w:w="1072" w:type="dxa"/>
          </w:tcPr>
          <w:p w:rsidR="00401DB8" w:rsidRPr="003222F8" w:rsidRDefault="00401DB8" w:rsidP="00401DB8">
            <w:pPr>
              <w:jc w:val="center"/>
            </w:pPr>
            <w:r w:rsidRPr="003222F8">
              <w:t>233.57</w:t>
            </w:r>
          </w:p>
        </w:tc>
        <w:tc>
          <w:tcPr>
            <w:tcW w:w="1021" w:type="dxa"/>
          </w:tcPr>
          <w:p w:rsidR="00401DB8" w:rsidRPr="00D51B41" w:rsidRDefault="00401DB8" w:rsidP="00401DB8">
            <w:pPr>
              <w:jc w:val="center"/>
            </w:pPr>
            <w:r w:rsidRPr="00D51B41">
              <w:t>980.97</w:t>
            </w:r>
          </w:p>
        </w:tc>
        <w:tc>
          <w:tcPr>
            <w:tcW w:w="1069" w:type="dxa"/>
          </w:tcPr>
          <w:p w:rsidR="00401DB8" w:rsidRPr="001D6825" w:rsidRDefault="00401DB8" w:rsidP="00401DB8">
            <w:pPr>
              <w:jc w:val="center"/>
              <w:rPr>
                <w:b/>
              </w:rPr>
            </w:pPr>
            <w:r w:rsidRPr="001D6825">
              <w:rPr>
                <w:b/>
              </w:rPr>
              <w:t>1896.17</w:t>
            </w:r>
          </w:p>
        </w:tc>
      </w:tr>
      <w:tr w:rsidR="00401DB8" w:rsidRPr="00F74CB1" w:rsidTr="00401DB8">
        <w:trPr>
          <w:trHeight w:val="206"/>
          <w:jc w:val="center"/>
        </w:trPr>
        <w:tc>
          <w:tcPr>
            <w:tcW w:w="987" w:type="dxa"/>
          </w:tcPr>
          <w:p w:rsidR="00401DB8" w:rsidRPr="003222F8" w:rsidRDefault="00401DB8" w:rsidP="00401DB8">
            <w:pPr>
              <w:jc w:val="center"/>
            </w:pPr>
            <w:r>
              <w:t>34</w:t>
            </w:r>
          </w:p>
        </w:tc>
        <w:tc>
          <w:tcPr>
            <w:tcW w:w="1355" w:type="dxa"/>
          </w:tcPr>
          <w:p w:rsidR="00401DB8" w:rsidRPr="003222F8" w:rsidRDefault="00401DB8" w:rsidP="00401DB8">
            <w:pPr>
              <w:jc w:val="center"/>
            </w:pPr>
            <w:r w:rsidRPr="003222F8">
              <w:t>217.60</w:t>
            </w:r>
          </w:p>
        </w:tc>
        <w:tc>
          <w:tcPr>
            <w:tcW w:w="1120" w:type="dxa"/>
          </w:tcPr>
          <w:p w:rsidR="00401DB8" w:rsidRPr="003222F8" w:rsidRDefault="00401DB8" w:rsidP="00401DB8">
            <w:pPr>
              <w:jc w:val="center"/>
            </w:pPr>
            <w:r w:rsidRPr="003222F8">
              <w:t>942.93</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91.59</w:t>
            </w:r>
          </w:p>
        </w:tc>
        <w:tc>
          <w:tcPr>
            <w:tcW w:w="1072" w:type="dxa"/>
          </w:tcPr>
          <w:p w:rsidR="00401DB8" w:rsidRPr="003222F8" w:rsidRDefault="00401DB8" w:rsidP="00401DB8">
            <w:pPr>
              <w:jc w:val="center"/>
            </w:pPr>
            <w:r w:rsidRPr="003222F8">
              <w:t>229.41</w:t>
            </w:r>
          </w:p>
        </w:tc>
        <w:tc>
          <w:tcPr>
            <w:tcW w:w="1021" w:type="dxa"/>
          </w:tcPr>
          <w:p w:rsidR="00401DB8" w:rsidRPr="00D51B41" w:rsidRDefault="00401DB8" w:rsidP="00401DB8">
            <w:pPr>
              <w:jc w:val="center"/>
            </w:pPr>
            <w:r w:rsidRPr="00D51B41">
              <w:t>963.50</w:t>
            </w:r>
          </w:p>
        </w:tc>
        <w:tc>
          <w:tcPr>
            <w:tcW w:w="1069" w:type="dxa"/>
          </w:tcPr>
          <w:p w:rsidR="00401DB8" w:rsidRPr="001D6825" w:rsidRDefault="00401DB8" w:rsidP="00401DB8">
            <w:pPr>
              <w:jc w:val="center"/>
              <w:rPr>
                <w:b/>
              </w:rPr>
            </w:pPr>
            <w:r w:rsidRPr="001D6825">
              <w:rPr>
                <w:b/>
              </w:rPr>
              <w:t>1906.43</w:t>
            </w:r>
          </w:p>
        </w:tc>
      </w:tr>
      <w:tr w:rsidR="00401DB8" w:rsidRPr="00F74CB1" w:rsidTr="00401DB8">
        <w:trPr>
          <w:trHeight w:val="206"/>
          <w:jc w:val="center"/>
        </w:trPr>
        <w:tc>
          <w:tcPr>
            <w:tcW w:w="987" w:type="dxa"/>
          </w:tcPr>
          <w:p w:rsidR="00401DB8" w:rsidRPr="003222F8" w:rsidRDefault="00401DB8" w:rsidP="00401DB8">
            <w:pPr>
              <w:jc w:val="center"/>
            </w:pPr>
            <w:r>
              <w:t>35</w:t>
            </w:r>
          </w:p>
        </w:tc>
        <w:tc>
          <w:tcPr>
            <w:tcW w:w="1355" w:type="dxa"/>
          </w:tcPr>
          <w:p w:rsidR="00401DB8" w:rsidRPr="003222F8" w:rsidRDefault="00401DB8" w:rsidP="00401DB8">
            <w:pPr>
              <w:jc w:val="center"/>
            </w:pPr>
            <w:r w:rsidRPr="003222F8">
              <w:t>224.00</w:t>
            </w:r>
          </w:p>
        </w:tc>
        <w:tc>
          <w:tcPr>
            <w:tcW w:w="1120" w:type="dxa"/>
          </w:tcPr>
          <w:p w:rsidR="00401DB8" w:rsidRPr="003222F8" w:rsidRDefault="00401DB8" w:rsidP="00401DB8">
            <w:pPr>
              <w:jc w:val="center"/>
            </w:pPr>
            <w:r w:rsidRPr="003222F8">
              <w:t>970.67</w:t>
            </w:r>
          </w:p>
        </w:tc>
        <w:tc>
          <w:tcPr>
            <w:tcW w:w="1092" w:type="dxa"/>
          </w:tcPr>
          <w:p w:rsidR="00401DB8" w:rsidRPr="003222F8" w:rsidRDefault="00401DB8" w:rsidP="00401DB8">
            <w:pPr>
              <w:jc w:val="center"/>
            </w:pPr>
            <w:r>
              <w:t>0</w:t>
            </w:r>
          </w:p>
        </w:tc>
        <w:tc>
          <w:tcPr>
            <w:tcW w:w="1005" w:type="dxa"/>
          </w:tcPr>
          <w:p w:rsidR="00401DB8" w:rsidRPr="003222F8" w:rsidRDefault="00401DB8" w:rsidP="00401DB8">
            <w:pPr>
              <w:jc w:val="center"/>
            </w:pPr>
            <w:r w:rsidRPr="003222F8">
              <w:t>0</w:t>
            </w:r>
          </w:p>
        </w:tc>
        <w:tc>
          <w:tcPr>
            <w:tcW w:w="1141" w:type="dxa"/>
          </w:tcPr>
          <w:p w:rsidR="00401DB8" w:rsidRPr="003222F8" w:rsidRDefault="00401DB8" w:rsidP="00401DB8">
            <w:pPr>
              <w:jc w:val="center"/>
            </w:pPr>
            <w:r w:rsidRPr="003222F8">
              <w:t>95.75</w:t>
            </w:r>
          </w:p>
        </w:tc>
        <w:tc>
          <w:tcPr>
            <w:tcW w:w="1072" w:type="dxa"/>
          </w:tcPr>
          <w:p w:rsidR="00401DB8" w:rsidRPr="003222F8" w:rsidRDefault="00401DB8" w:rsidP="00401DB8">
            <w:pPr>
              <w:jc w:val="center"/>
            </w:pPr>
            <w:r w:rsidRPr="003222F8">
              <w:t>225.25</w:t>
            </w:r>
          </w:p>
        </w:tc>
        <w:tc>
          <w:tcPr>
            <w:tcW w:w="1021" w:type="dxa"/>
          </w:tcPr>
          <w:p w:rsidR="00401DB8" w:rsidRPr="00D51B41" w:rsidRDefault="00401DB8" w:rsidP="00401DB8">
            <w:pPr>
              <w:jc w:val="center"/>
            </w:pPr>
            <w:r w:rsidRPr="00D51B41">
              <w:t>946.03</w:t>
            </w:r>
          </w:p>
        </w:tc>
        <w:tc>
          <w:tcPr>
            <w:tcW w:w="1069" w:type="dxa"/>
          </w:tcPr>
          <w:p w:rsidR="00401DB8" w:rsidRDefault="00401DB8" w:rsidP="00401DB8">
            <w:pPr>
              <w:jc w:val="center"/>
            </w:pPr>
            <w:r w:rsidRPr="00D51B41">
              <w:t>1916.70</w:t>
            </w:r>
          </w:p>
        </w:tc>
      </w:tr>
    </w:tbl>
    <w:p w:rsidR="00401DB8" w:rsidRPr="009B053E" w:rsidRDefault="009C63A7" w:rsidP="00401DB8">
      <w:pPr>
        <w:spacing w:after="0"/>
        <w:jc w:val="center"/>
        <w:rPr>
          <w:rFonts w:ascii="Arial" w:hAnsi="Arial" w:cs="Arial"/>
          <w:i/>
          <w:sz w:val="21"/>
          <w:szCs w:val="21"/>
        </w:rPr>
      </w:pPr>
      <w:r>
        <w:rPr>
          <w:rFonts w:ascii="Arial" w:hAnsi="Arial" w:cs="Arial"/>
          <w:i/>
          <w:sz w:val="21"/>
          <w:szCs w:val="21"/>
        </w:rPr>
        <w:t>Figure 3</w:t>
      </w:r>
      <w:r w:rsidR="00401DB8" w:rsidRPr="009B053E">
        <w:rPr>
          <w:rFonts w:ascii="Arial" w:hAnsi="Arial" w:cs="Arial"/>
          <w:i/>
          <w:sz w:val="21"/>
          <w:szCs w:val="21"/>
        </w:rPr>
        <w:t>: impact of UC and HB taper rates on overall income for a 16 year old or apprentice living in Lambeth, receiving the minimum wage and paying £320.99 rent who starts working over 21 hours.</w:t>
      </w:r>
    </w:p>
    <w:p w:rsidR="00401DB8" w:rsidRDefault="00401DB8" w:rsidP="00401DB8">
      <w:pPr>
        <w:spacing w:after="0"/>
        <w:rPr>
          <w:rFonts w:ascii="Arial" w:hAnsi="Arial" w:cs="Arial"/>
        </w:rPr>
      </w:pPr>
    </w:p>
    <w:p w:rsidR="00401DB8" w:rsidRDefault="00401DB8" w:rsidP="00401DB8">
      <w:pPr>
        <w:spacing w:after="0"/>
        <w:jc w:val="both"/>
        <w:rPr>
          <w:rFonts w:ascii="Arial" w:hAnsi="Arial" w:cs="Arial"/>
        </w:rPr>
      </w:pPr>
      <w:r>
        <w:rPr>
          <w:rFonts w:ascii="Arial" w:hAnsi="Arial" w:cs="Arial"/>
        </w:rPr>
        <w:lastRenderedPageBreak/>
        <w:t>Moreover, this is shown in the following table demonstrating the impact of benefit rules on 18-20 year olds earning the</w:t>
      </w:r>
      <w:r w:rsidR="00AE17C6">
        <w:rPr>
          <w:rFonts w:ascii="Arial" w:hAnsi="Arial" w:cs="Arial"/>
        </w:rPr>
        <w:t xml:space="preserve"> </w:t>
      </w:r>
      <w:r w:rsidR="00AE17C6" w:rsidRPr="00AE17C6">
        <w:rPr>
          <w:rFonts w:ascii="Arial" w:hAnsi="Arial" w:cs="Arial"/>
        </w:rPr>
        <w:t xml:space="preserve">£8.60 </w:t>
      </w:r>
      <w:r>
        <w:rPr>
          <w:rFonts w:ascii="Arial" w:hAnsi="Arial" w:cs="Arial"/>
        </w:rPr>
        <w:t xml:space="preserve">minimum wage – </w:t>
      </w:r>
      <w:r w:rsidRPr="00085C26">
        <w:rPr>
          <w:rFonts w:ascii="Arial" w:hAnsi="Arial" w:cs="Arial"/>
          <w:i/>
        </w:rPr>
        <w:t>worse off period is in bold</w:t>
      </w:r>
      <w:r>
        <w:rPr>
          <w:rFonts w:ascii="Arial" w:hAnsi="Arial" w:cs="Arial"/>
        </w:rPr>
        <w:t>:</w:t>
      </w:r>
    </w:p>
    <w:p w:rsidR="00401DB8" w:rsidRDefault="00401DB8" w:rsidP="00401DB8">
      <w:pPr>
        <w:spacing w:after="0"/>
        <w:rPr>
          <w:rFonts w:ascii="Arial" w:hAnsi="Arial" w:cs="Arial"/>
        </w:rPr>
      </w:pPr>
    </w:p>
    <w:tbl>
      <w:tblPr>
        <w:tblStyle w:val="TableGrid"/>
        <w:tblW w:w="0" w:type="auto"/>
        <w:jc w:val="center"/>
        <w:tblLook w:val="04A0" w:firstRow="1" w:lastRow="0" w:firstColumn="1" w:lastColumn="0" w:noHBand="0" w:noVBand="1"/>
      </w:tblPr>
      <w:tblGrid>
        <w:gridCol w:w="922"/>
        <w:gridCol w:w="966"/>
        <w:gridCol w:w="1082"/>
        <w:gridCol w:w="1083"/>
        <w:gridCol w:w="1063"/>
        <w:gridCol w:w="1032"/>
        <w:gridCol w:w="849"/>
        <w:gridCol w:w="956"/>
        <w:gridCol w:w="1063"/>
      </w:tblGrid>
      <w:tr w:rsidR="00401DB8" w:rsidRPr="00CE4528" w:rsidTr="00401DB8">
        <w:trPr>
          <w:trHeight w:val="1054"/>
          <w:jc w:val="center"/>
        </w:trPr>
        <w:tc>
          <w:tcPr>
            <w:tcW w:w="987" w:type="dxa"/>
          </w:tcPr>
          <w:p w:rsidR="00401DB8" w:rsidRPr="00CE4528" w:rsidRDefault="00401DB8" w:rsidP="00401DB8">
            <w:pPr>
              <w:jc w:val="center"/>
              <w:rPr>
                <w:rFonts w:ascii="Arial" w:hAnsi="Arial" w:cs="Arial"/>
                <w:b/>
              </w:rPr>
            </w:pPr>
            <w:r>
              <w:rPr>
                <w:rFonts w:ascii="Arial" w:hAnsi="Arial" w:cs="Arial"/>
                <w:b/>
              </w:rPr>
              <w:t>Hours Worked</w:t>
            </w:r>
          </w:p>
        </w:tc>
        <w:tc>
          <w:tcPr>
            <w:tcW w:w="1072" w:type="dxa"/>
            <w:noWrap/>
            <w:hideMark/>
          </w:tcPr>
          <w:p w:rsidR="00401DB8" w:rsidRPr="00CE4528" w:rsidRDefault="00401DB8" w:rsidP="00401DB8">
            <w:pPr>
              <w:jc w:val="center"/>
              <w:rPr>
                <w:rFonts w:ascii="Arial" w:hAnsi="Arial" w:cs="Arial"/>
                <w:b/>
              </w:rPr>
            </w:pPr>
            <w:r>
              <w:rPr>
                <w:rFonts w:ascii="Arial" w:hAnsi="Arial" w:cs="Arial"/>
                <w:b/>
              </w:rPr>
              <w:t>Net Wage W</w:t>
            </w:r>
            <w:r w:rsidRPr="00CE4528">
              <w:rPr>
                <w:rFonts w:ascii="Arial" w:hAnsi="Arial" w:cs="Arial"/>
                <w:b/>
              </w:rPr>
              <w:t>eekly</w:t>
            </w:r>
            <w:r>
              <w:rPr>
                <w:rFonts w:ascii="Arial" w:hAnsi="Arial" w:cs="Arial"/>
                <w:b/>
              </w:rPr>
              <w:t xml:space="preserve"> </w:t>
            </w:r>
            <w:r w:rsidRPr="001D6825">
              <w:rPr>
                <w:rFonts w:ascii="Arial" w:hAnsi="Arial" w:cs="Arial"/>
                <w:b/>
                <w:lang w:val="en-GB"/>
              </w:rPr>
              <w:t>(£)</w:t>
            </w:r>
          </w:p>
        </w:tc>
        <w:tc>
          <w:tcPr>
            <w:tcW w:w="1204" w:type="dxa"/>
            <w:noWrap/>
            <w:hideMark/>
          </w:tcPr>
          <w:p w:rsidR="00401DB8" w:rsidRPr="00CE4528" w:rsidRDefault="00401DB8" w:rsidP="00401DB8">
            <w:pPr>
              <w:jc w:val="center"/>
              <w:rPr>
                <w:rFonts w:ascii="Arial" w:hAnsi="Arial" w:cs="Arial"/>
                <w:b/>
              </w:rPr>
            </w:pPr>
            <w:r>
              <w:rPr>
                <w:rFonts w:ascii="Arial" w:hAnsi="Arial" w:cs="Arial"/>
                <w:b/>
              </w:rPr>
              <w:t>Net Wage M</w:t>
            </w:r>
            <w:r w:rsidRPr="00CE4528">
              <w:rPr>
                <w:rFonts w:ascii="Arial" w:hAnsi="Arial" w:cs="Arial"/>
                <w:b/>
              </w:rPr>
              <w:t>onthly</w:t>
            </w:r>
            <w:r>
              <w:rPr>
                <w:rFonts w:ascii="Arial" w:hAnsi="Arial" w:cs="Arial"/>
                <w:b/>
              </w:rPr>
              <w:t xml:space="preserve"> </w:t>
            </w:r>
            <w:r w:rsidRPr="001D6825">
              <w:rPr>
                <w:rFonts w:ascii="Arial" w:hAnsi="Arial" w:cs="Arial"/>
                <w:b/>
                <w:lang w:val="en-GB"/>
              </w:rPr>
              <w:t>(£)</w:t>
            </w:r>
          </w:p>
        </w:tc>
        <w:tc>
          <w:tcPr>
            <w:tcW w:w="1205" w:type="dxa"/>
            <w:hideMark/>
          </w:tcPr>
          <w:p w:rsidR="00401DB8" w:rsidRPr="00CE4528" w:rsidRDefault="00401DB8" w:rsidP="00401DB8">
            <w:pPr>
              <w:jc w:val="center"/>
              <w:rPr>
                <w:rFonts w:ascii="Arial" w:hAnsi="Arial" w:cs="Arial"/>
                <w:b/>
              </w:rPr>
            </w:pPr>
            <w:r>
              <w:rPr>
                <w:rFonts w:ascii="Arial" w:hAnsi="Arial" w:cs="Arial"/>
                <w:b/>
              </w:rPr>
              <w:t>Wage tapered UC Rules (</w:t>
            </w:r>
            <w:r w:rsidRPr="00CE4528">
              <w:rPr>
                <w:rFonts w:ascii="Arial" w:hAnsi="Arial" w:cs="Arial"/>
                <w:b/>
              </w:rPr>
              <w:t>55%</w:t>
            </w:r>
            <w:r>
              <w:rPr>
                <w:rFonts w:ascii="Arial" w:hAnsi="Arial" w:cs="Arial"/>
                <w:b/>
              </w:rPr>
              <w:t>)</w:t>
            </w:r>
          </w:p>
        </w:tc>
        <w:tc>
          <w:tcPr>
            <w:tcW w:w="1139" w:type="dxa"/>
            <w:noWrap/>
            <w:hideMark/>
          </w:tcPr>
          <w:p w:rsidR="00401DB8" w:rsidRPr="00CE4528" w:rsidRDefault="00401DB8" w:rsidP="00401DB8">
            <w:pPr>
              <w:jc w:val="center"/>
              <w:rPr>
                <w:rFonts w:ascii="Arial" w:hAnsi="Arial" w:cs="Arial"/>
                <w:b/>
              </w:rPr>
            </w:pPr>
            <w:r w:rsidRPr="00CE4528">
              <w:rPr>
                <w:rFonts w:ascii="Arial" w:hAnsi="Arial" w:cs="Arial"/>
                <w:b/>
              </w:rPr>
              <w:t>U</w:t>
            </w:r>
            <w:r>
              <w:rPr>
                <w:rFonts w:ascii="Arial" w:hAnsi="Arial" w:cs="Arial"/>
                <w:b/>
              </w:rPr>
              <w:t>C Re</w:t>
            </w:r>
            <w:r w:rsidRPr="00CE4528">
              <w:rPr>
                <w:rFonts w:ascii="Arial" w:hAnsi="Arial" w:cs="Arial"/>
                <w:b/>
              </w:rPr>
              <w:t>c</w:t>
            </w:r>
            <w:r>
              <w:rPr>
                <w:rFonts w:ascii="Arial" w:hAnsi="Arial" w:cs="Arial"/>
                <w:b/>
              </w:rPr>
              <w:t>eive</w:t>
            </w:r>
            <w:r w:rsidRPr="00CE4528">
              <w:rPr>
                <w:rFonts w:ascii="Arial" w:hAnsi="Arial" w:cs="Arial"/>
                <w:b/>
              </w:rPr>
              <w:t>d</w:t>
            </w:r>
            <w:r>
              <w:rPr>
                <w:rFonts w:ascii="Arial" w:hAnsi="Arial" w:cs="Arial"/>
                <w:b/>
              </w:rPr>
              <w:t xml:space="preserve"> </w:t>
            </w:r>
            <w:r w:rsidRPr="001D6825">
              <w:rPr>
                <w:rFonts w:ascii="Arial" w:hAnsi="Arial" w:cs="Arial"/>
                <w:b/>
                <w:lang w:val="en-GB"/>
              </w:rPr>
              <w:t>(£)</w:t>
            </w:r>
            <w:r>
              <w:rPr>
                <w:rFonts w:ascii="Arial" w:hAnsi="Arial" w:cs="Arial"/>
                <w:b/>
              </w:rPr>
              <w:t xml:space="preserve"> </w:t>
            </w:r>
          </w:p>
        </w:tc>
        <w:tc>
          <w:tcPr>
            <w:tcW w:w="1147" w:type="dxa"/>
            <w:hideMark/>
          </w:tcPr>
          <w:p w:rsidR="00401DB8" w:rsidRPr="00CE4528" w:rsidRDefault="00401DB8" w:rsidP="00401DB8">
            <w:pPr>
              <w:jc w:val="center"/>
              <w:rPr>
                <w:rFonts w:ascii="Arial" w:hAnsi="Arial" w:cs="Arial"/>
                <w:b/>
              </w:rPr>
            </w:pPr>
            <w:r w:rsidRPr="00CE4528">
              <w:rPr>
                <w:rFonts w:ascii="Arial" w:hAnsi="Arial" w:cs="Arial"/>
                <w:b/>
              </w:rPr>
              <w:t xml:space="preserve">Wage tapered HB rules </w:t>
            </w:r>
            <w:r>
              <w:rPr>
                <w:rFonts w:ascii="Arial" w:hAnsi="Arial" w:cs="Arial"/>
                <w:b/>
              </w:rPr>
              <w:t>(</w:t>
            </w:r>
            <w:r w:rsidRPr="00CE4528">
              <w:rPr>
                <w:rFonts w:ascii="Arial" w:hAnsi="Arial" w:cs="Arial"/>
                <w:b/>
              </w:rPr>
              <w:t>65%</w:t>
            </w:r>
            <w:r>
              <w:rPr>
                <w:rFonts w:ascii="Arial" w:hAnsi="Arial" w:cs="Arial"/>
                <w:b/>
              </w:rPr>
              <w:t>)</w:t>
            </w:r>
            <w:r w:rsidRPr="00CE4528">
              <w:rPr>
                <w:rFonts w:ascii="Arial" w:hAnsi="Arial" w:cs="Arial"/>
                <w:b/>
              </w:rPr>
              <w:t xml:space="preserve"> </w:t>
            </w:r>
          </w:p>
        </w:tc>
        <w:tc>
          <w:tcPr>
            <w:tcW w:w="906" w:type="dxa"/>
            <w:hideMark/>
          </w:tcPr>
          <w:p w:rsidR="00401DB8" w:rsidRPr="00CE4528" w:rsidRDefault="00401DB8" w:rsidP="00401DB8">
            <w:pPr>
              <w:jc w:val="center"/>
              <w:rPr>
                <w:rFonts w:ascii="Arial" w:hAnsi="Arial" w:cs="Arial"/>
                <w:b/>
              </w:rPr>
            </w:pPr>
            <w:r w:rsidRPr="00CE4528">
              <w:rPr>
                <w:rFonts w:ascii="Arial" w:hAnsi="Arial" w:cs="Arial"/>
                <w:b/>
              </w:rPr>
              <w:t>HB weekly</w:t>
            </w:r>
            <w:r>
              <w:rPr>
                <w:rFonts w:ascii="Arial" w:hAnsi="Arial" w:cs="Arial"/>
                <w:b/>
              </w:rPr>
              <w:t xml:space="preserve"> </w:t>
            </w:r>
            <w:r w:rsidRPr="001D6825">
              <w:rPr>
                <w:rFonts w:ascii="Arial" w:hAnsi="Arial" w:cs="Arial"/>
                <w:b/>
                <w:lang w:val="en-GB"/>
              </w:rPr>
              <w:t>(£)</w:t>
            </w:r>
            <w:r>
              <w:rPr>
                <w:rFonts w:ascii="Arial" w:hAnsi="Arial" w:cs="Arial"/>
                <w:b/>
              </w:rPr>
              <w:t xml:space="preserve"> </w:t>
            </w:r>
          </w:p>
        </w:tc>
        <w:tc>
          <w:tcPr>
            <w:tcW w:w="1021" w:type="dxa"/>
            <w:hideMark/>
          </w:tcPr>
          <w:p w:rsidR="00401DB8" w:rsidRPr="00CE4528" w:rsidRDefault="00401DB8" w:rsidP="00401DB8">
            <w:pPr>
              <w:jc w:val="center"/>
              <w:rPr>
                <w:rFonts w:ascii="Arial" w:hAnsi="Arial" w:cs="Arial"/>
                <w:b/>
              </w:rPr>
            </w:pPr>
            <w:r>
              <w:rPr>
                <w:rFonts w:ascii="Arial" w:hAnsi="Arial" w:cs="Arial"/>
                <w:b/>
              </w:rPr>
              <w:t>HB Monthl</w:t>
            </w:r>
            <w:r w:rsidRPr="00CE4528">
              <w:rPr>
                <w:rFonts w:ascii="Arial" w:hAnsi="Arial" w:cs="Arial"/>
                <w:b/>
              </w:rPr>
              <w:t>y</w:t>
            </w:r>
            <w:r>
              <w:rPr>
                <w:rFonts w:ascii="Arial" w:hAnsi="Arial" w:cs="Arial"/>
                <w:b/>
              </w:rPr>
              <w:t xml:space="preserve"> </w:t>
            </w:r>
            <w:r w:rsidRPr="001D6825">
              <w:rPr>
                <w:rFonts w:ascii="Arial" w:hAnsi="Arial" w:cs="Arial"/>
                <w:b/>
                <w:lang w:val="en-GB"/>
              </w:rPr>
              <w:t>(£)</w:t>
            </w:r>
          </w:p>
        </w:tc>
        <w:tc>
          <w:tcPr>
            <w:tcW w:w="1069" w:type="dxa"/>
            <w:hideMark/>
          </w:tcPr>
          <w:p w:rsidR="00401DB8" w:rsidRPr="001D6825" w:rsidRDefault="00401DB8" w:rsidP="00401DB8">
            <w:pPr>
              <w:jc w:val="center"/>
              <w:rPr>
                <w:rFonts w:ascii="Arial" w:hAnsi="Arial" w:cs="Arial"/>
                <w:b/>
              </w:rPr>
            </w:pPr>
            <w:r>
              <w:rPr>
                <w:rFonts w:ascii="Arial" w:hAnsi="Arial" w:cs="Arial"/>
                <w:b/>
              </w:rPr>
              <w:t>Total Re</w:t>
            </w:r>
            <w:r w:rsidRPr="00CE4528">
              <w:rPr>
                <w:rFonts w:ascii="Arial" w:hAnsi="Arial" w:cs="Arial"/>
                <w:b/>
              </w:rPr>
              <w:t>c</w:t>
            </w:r>
            <w:r>
              <w:rPr>
                <w:rFonts w:ascii="Arial" w:hAnsi="Arial" w:cs="Arial"/>
                <w:b/>
              </w:rPr>
              <w:t>ei</w:t>
            </w:r>
            <w:r w:rsidRPr="00CE4528">
              <w:rPr>
                <w:rFonts w:ascii="Arial" w:hAnsi="Arial" w:cs="Arial"/>
                <w:b/>
              </w:rPr>
              <w:t>v</w:t>
            </w:r>
            <w:r>
              <w:rPr>
                <w:rFonts w:ascii="Arial" w:hAnsi="Arial" w:cs="Arial"/>
                <w:b/>
              </w:rPr>
              <w:t>e</w:t>
            </w:r>
            <w:r w:rsidRPr="00CE4528">
              <w:rPr>
                <w:rFonts w:ascii="Arial" w:hAnsi="Arial" w:cs="Arial"/>
                <w:b/>
              </w:rPr>
              <w:t>d</w:t>
            </w:r>
            <w:r>
              <w:rPr>
                <w:rFonts w:ascii="Arial" w:hAnsi="Arial" w:cs="Arial"/>
                <w:b/>
              </w:rPr>
              <w:t xml:space="preserve"> </w:t>
            </w:r>
            <w:r w:rsidRPr="001D6825">
              <w:rPr>
                <w:rFonts w:ascii="Arial" w:hAnsi="Arial" w:cs="Arial"/>
                <w:b/>
              </w:rPr>
              <w:t>(HB + UC + Wage)</w:t>
            </w:r>
          </w:p>
          <w:p w:rsidR="00401DB8" w:rsidRPr="00CE4528" w:rsidRDefault="00401DB8" w:rsidP="00401DB8">
            <w:pPr>
              <w:jc w:val="center"/>
              <w:rPr>
                <w:rFonts w:ascii="Arial" w:hAnsi="Arial" w:cs="Arial"/>
                <w:b/>
              </w:rPr>
            </w:pPr>
            <w:r w:rsidRPr="001D6825">
              <w:rPr>
                <w:rFonts w:ascii="Arial" w:hAnsi="Arial" w:cs="Arial"/>
                <w:b/>
                <w:lang w:val="en-GB"/>
              </w:rPr>
              <w:t>(£)</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15</w:t>
            </w:r>
          </w:p>
        </w:tc>
        <w:tc>
          <w:tcPr>
            <w:tcW w:w="1072" w:type="dxa"/>
            <w:noWrap/>
            <w:hideMark/>
          </w:tcPr>
          <w:p w:rsidR="00401DB8" w:rsidRPr="00D13757" w:rsidRDefault="00401DB8" w:rsidP="00401DB8">
            <w:pPr>
              <w:jc w:val="center"/>
            </w:pPr>
            <w:r w:rsidRPr="00D13757">
              <w:t>129.00</w:t>
            </w:r>
          </w:p>
        </w:tc>
        <w:tc>
          <w:tcPr>
            <w:tcW w:w="1204" w:type="dxa"/>
            <w:noWrap/>
            <w:hideMark/>
          </w:tcPr>
          <w:p w:rsidR="00401DB8" w:rsidRPr="00D13757" w:rsidRDefault="00401DB8" w:rsidP="00401DB8">
            <w:pPr>
              <w:jc w:val="center"/>
            </w:pPr>
            <w:r w:rsidRPr="00D13757">
              <w:t>559.00</w:t>
            </w:r>
          </w:p>
        </w:tc>
        <w:tc>
          <w:tcPr>
            <w:tcW w:w="1205" w:type="dxa"/>
            <w:noWrap/>
            <w:hideMark/>
          </w:tcPr>
          <w:p w:rsidR="00401DB8" w:rsidRPr="00D13757" w:rsidRDefault="00401DB8" w:rsidP="00401DB8">
            <w:pPr>
              <w:jc w:val="center"/>
            </w:pPr>
            <w:r w:rsidRPr="00D13757">
              <w:t>307.45</w:t>
            </w:r>
          </w:p>
        </w:tc>
        <w:tc>
          <w:tcPr>
            <w:tcW w:w="1139" w:type="dxa"/>
            <w:noWrap/>
            <w:hideMark/>
          </w:tcPr>
          <w:p w:rsidR="00401DB8" w:rsidRPr="00D13757" w:rsidRDefault="00401DB8" w:rsidP="00401DB8">
            <w:pPr>
              <w:jc w:val="center"/>
            </w:pPr>
            <w:r w:rsidRPr="00D13757">
              <w:t>4.23</w:t>
            </w:r>
          </w:p>
        </w:tc>
        <w:tc>
          <w:tcPr>
            <w:tcW w:w="1147" w:type="dxa"/>
            <w:noWrap/>
            <w:hideMark/>
          </w:tcPr>
          <w:p w:rsidR="00401DB8" w:rsidRPr="00A510AA" w:rsidRDefault="00401DB8" w:rsidP="00401DB8">
            <w:pPr>
              <w:jc w:val="center"/>
            </w:pPr>
            <w:r>
              <w:t>0</w:t>
            </w:r>
          </w:p>
        </w:tc>
        <w:tc>
          <w:tcPr>
            <w:tcW w:w="906" w:type="dxa"/>
            <w:noWrap/>
            <w:hideMark/>
          </w:tcPr>
          <w:p w:rsidR="00401DB8" w:rsidRPr="00A510AA" w:rsidRDefault="00401DB8" w:rsidP="00401DB8">
            <w:pPr>
              <w:jc w:val="center"/>
            </w:pPr>
            <w:r w:rsidRPr="00A510AA">
              <w:t>320.99</w:t>
            </w:r>
          </w:p>
        </w:tc>
        <w:tc>
          <w:tcPr>
            <w:tcW w:w="1021" w:type="dxa"/>
            <w:noWrap/>
            <w:hideMark/>
          </w:tcPr>
          <w:p w:rsidR="00401DB8" w:rsidRPr="00A510AA" w:rsidRDefault="00401DB8" w:rsidP="00401DB8">
            <w:pPr>
              <w:jc w:val="center"/>
            </w:pPr>
            <w:r w:rsidRPr="00A510AA">
              <w:t>1348.16</w:t>
            </w:r>
          </w:p>
        </w:tc>
        <w:tc>
          <w:tcPr>
            <w:tcW w:w="1069" w:type="dxa"/>
            <w:noWrap/>
            <w:hideMark/>
          </w:tcPr>
          <w:p w:rsidR="00401DB8" w:rsidRPr="00A510AA" w:rsidRDefault="00401DB8" w:rsidP="00401DB8">
            <w:pPr>
              <w:jc w:val="center"/>
            </w:pPr>
            <w:r w:rsidRPr="00A510AA">
              <w:t>1911.39</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16</w:t>
            </w:r>
          </w:p>
        </w:tc>
        <w:tc>
          <w:tcPr>
            <w:tcW w:w="1072" w:type="dxa"/>
            <w:noWrap/>
            <w:hideMark/>
          </w:tcPr>
          <w:p w:rsidR="00401DB8" w:rsidRPr="00D13757" w:rsidRDefault="00401DB8" w:rsidP="00401DB8">
            <w:pPr>
              <w:jc w:val="center"/>
            </w:pPr>
            <w:r w:rsidRPr="00D13757">
              <w:t>137.60</w:t>
            </w:r>
          </w:p>
        </w:tc>
        <w:tc>
          <w:tcPr>
            <w:tcW w:w="1204" w:type="dxa"/>
            <w:noWrap/>
            <w:hideMark/>
          </w:tcPr>
          <w:p w:rsidR="00401DB8" w:rsidRPr="00D13757" w:rsidRDefault="00401DB8" w:rsidP="00401DB8">
            <w:pPr>
              <w:jc w:val="center"/>
            </w:pPr>
            <w:r w:rsidRPr="00D13757">
              <w:t>596.27</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0.00</w:t>
            </w:r>
          </w:p>
        </w:tc>
        <w:tc>
          <w:tcPr>
            <w:tcW w:w="1147" w:type="dxa"/>
            <w:noWrap/>
            <w:hideMark/>
          </w:tcPr>
          <w:p w:rsidR="00401DB8" w:rsidRPr="00A510AA" w:rsidRDefault="00401DB8" w:rsidP="00401DB8">
            <w:pPr>
              <w:jc w:val="center"/>
            </w:pPr>
            <w:r w:rsidRPr="00A510AA">
              <w:t>39.59</w:t>
            </w:r>
          </w:p>
        </w:tc>
        <w:tc>
          <w:tcPr>
            <w:tcW w:w="906" w:type="dxa"/>
            <w:noWrap/>
            <w:hideMark/>
          </w:tcPr>
          <w:p w:rsidR="00401DB8" w:rsidRPr="00A510AA" w:rsidRDefault="00401DB8" w:rsidP="00401DB8">
            <w:pPr>
              <w:jc w:val="center"/>
            </w:pPr>
            <w:r w:rsidRPr="00A510AA">
              <w:t>281.41</w:t>
            </w:r>
          </w:p>
        </w:tc>
        <w:tc>
          <w:tcPr>
            <w:tcW w:w="1021" w:type="dxa"/>
            <w:noWrap/>
            <w:hideMark/>
          </w:tcPr>
          <w:p w:rsidR="00401DB8" w:rsidRPr="00A510AA" w:rsidRDefault="00401DB8" w:rsidP="00401DB8">
            <w:pPr>
              <w:jc w:val="center"/>
            </w:pPr>
            <w:r w:rsidRPr="00A510AA">
              <w:t>1181.90</w:t>
            </w:r>
          </w:p>
        </w:tc>
        <w:tc>
          <w:tcPr>
            <w:tcW w:w="1069" w:type="dxa"/>
            <w:noWrap/>
            <w:hideMark/>
          </w:tcPr>
          <w:p w:rsidR="00401DB8" w:rsidRPr="001D6825" w:rsidRDefault="00401DB8" w:rsidP="00401DB8">
            <w:pPr>
              <w:jc w:val="center"/>
              <w:rPr>
                <w:b/>
              </w:rPr>
            </w:pPr>
            <w:r w:rsidRPr="001D6825">
              <w:rPr>
                <w:b/>
              </w:rPr>
              <w:t>1778.17</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17</w:t>
            </w:r>
          </w:p>
        </w:tc>
        <w:tc>
          <w:tcPr>
            <w:tcW w:w="1072" w:type="dxa"/>
            <w:noWrap/>
            <w:hideMark/>
          </w:tcPr>
          <w:p w:rsidR="00401DB8" w:rsidRPr="00D13757" w:rsidRDefault="00401DB8" w:rsidP="00401DB8">
            <w:pPr>
              <w:jc w:val="center"/>
            </w:pPr>
            <w:r w:rsidRPr="00D13757">
              <w:t>146.20</w:t>
            </w:r>
          </w:p>
        </w:tc>
        <w:tc>
          <w:tcPr>
            <w:tcW w:w="1204" w:type="dxa"/>
            <w:noWrap/>
            <w:hideMark/>
          </w:tcPr>
          <w:p w:rsidR="00401DB8" w:rsidRPr="00D13757" w:rsidRDefault="00401DB8" w:rsidP="00401DB8">
            <w:pPr>
              <w:jc w:val="center"/>
            </w:pPr>
            <w:r w:rsidRPr="00D13757">
              <w:t>633.53</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45.18</w:t>
            </w:r>
          </w:p>
        </w:tc>
        <w:tc>
          <w:tcPr>
            <w:tcW w:w="906" w:type="dxa"/>
            <w:noWrap/>
            <w:hideMark/>
          </w:tcPr>
          <w:p w:rsidR="00401DB8" w:rsidRPr="00A510AA" w:rsidRDefault="00401DB8" w:rsidP="00401DB8">
            <w:pPr>
              <w:jc w:val="center"/>
            </w:pPr>
            <w:r w:rsidRPr="00A510AA">
              <w:t>275.82</w:t>
            </w:r>
          </w:p>
        </w:tc>
        <w:tc>
          <w:tcPr>
            <w:tcW w:w="1021" w:type="dxa"/>
            <w:noWrap/>
            <w:hideMark/>
          </w:tcPr>
          <w:p w:rsidR="00401DB8" w:rsidRPr="00A510AA" w:rsidRDefault="00401DB8" w:rsidP="00401DB8">
            <w:pPr>
              <w:jc w:val="center"/>
            </w:pPr>
            <w:r w:rsidRPr="00A510AA">
              <w:t>1158.42</w:t>
            </w:r>
          </w:p>
        </w:tc>
        <w:tc>
          <w:tcPr>
            <w:tcW w:w="1069" w:type="dxa"/>
            <w:noWrap/>
            <w:hideMark/>
          </w:tcPr>
          <w:p w:rsidR="00401DB8" w:rsidRPr="001D6825" w:rsidRDefault="00401DB8" w:rsidP="00401DB8">
            <w:pPr>
              <w:jc w:val="center"/>
              <w:rPr>
                <w:b/>
              </w:rPr>
            </w:pPr>
            <w:r w:rsidRPr="001D6825">
              <w:rPr>
                <w:b/>
              </w:rPr>
              <w:t>1791.96</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18</w:t>
            </w:r>
          </w:p>
        </w:tc>
        <w:tc>
          <w:tcPr>
            <w:tcW w:w="1072" w:type="dxa"/>
            <w:noWrap/>
            <w:hideMark/>
          </w:tcPr>
          <w:p w:rsidR="00401DB8" w:rsidRPr="00D13757" w:rsidRDefault="00401DB8" w:rsidP="00401DB8">
            <w:pPr>
              <w:jc w:val="center"/>
            </w:pPr>
            <w:r w:rsidRPr="00D13757">
              <w:t>154.80</w:t>
            </w:r>
          </w:p>
        </w:tc>
        <w:tc>
          <w:tcPr>
            <w:tcW w:w="1204" w:type="dxa"/>
            <w:noWrap/>
            <w:hideMark/>
          </w:tcPr>
          <w:p w:rsidR="00401DB8" w:rsidRPr="00D13757" w:rsidRDefault="00401DB8" w:rsidP="00401DB8">
            <w:pPr>
              <w:jc w:val="center"/>
            </w:pPr>
            <w:r w:rsidRPr="00D13757">
              <w:t>670.80</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50.77</w:t>
            </w:r>
          </w:p>
        </w:tc>
        <w:tc>
          <w:tcPr>
            <w:tcW w:w="906" w:type="dxa"/>
            <w:noWrap/>
            <w:hideMark/>
          </w:tcPr>
          <w:p w:rsidR="00401DB8" w:rsidRPr="00A510AA" w:rsidRDefault="00401DB8" w:rsidP="00401DB8">
            <w:pPr>
              <w:jc w:val="center"/>
            </w:pPr>
            <w:r w:rsidRPr="00A510AA">
              <w:t>270.23</w:t>
            </w:r>
          </w:p>
        </w:tc>
        <w:tc>
          <w:tcPr>
            <w:tcW w:w="1021" w:type="dxa"/>
            <w:noWrap/>
            <w:hideMark/>
          </w:tcPr>
          <w:p w:rsidR="00401DB8" w:rsidRPr="00A510AA" w:rsidRDefault="00401DB8" w:rsidP="00401DB8">
            <w:pPr>
              <w:jc w:val="center"/>
            </w:pPr>
            <w:r w:rsidRPr="00A510AA">
              <w:t>1134.95</w:t>
            </w:r>
          </w:p>
        </w:tc>
        <w:tc>
          <w:tcPr>
            <w:tcW w:w="1069" w:type="dxa"/>
            <w:noWrap/>
            <w:hideMark/>
          </w:tcPr>
          <w:p w:rsidR="00401DB8" w:rsidRPr="001D6825" w:rsidRDefault="00401DB8" w:rsidP="00401DB8">
            <w:pPr>
              <w:jc w:val="center"/>
              <w:rPr>
                <w:b/>
              </w:rPr>
            </w:pPr>
            <w:r w:rsidRPr="001D6825">
              <w:rPr>
                <w:b/>
              </w:rPr>
              <w:t>1805.75</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19</w:t>
            </w:r>
          </w:p>
        </w:tc>
        <w:tc>
          <w:tcPr>
            <w:tcW w:w="1072" w:type="dxa"/>
            <w:noWrap/>
            <w:hideMark/>
          </w:tcPr>
          <w:p w:rsidR="00401DB8" w:rsidRPr="00D13757" w:rsidRDefault="00401DB8" w:rsidP="00401DB8">
            <w:pPr>
              <w:jc w:val="center"/>
            </w:pPr>
            <w:r w:rsidRPr="00D13757">
              <w:t>163.40</w:t>
            </w:r>
          </w:p>
        </w:tc>
        <w:tc>
          <w:tcPr>
            <w:tcW w:w="1204" w:type="dxa"/>
            <w:noWrap/>
            <w:hideMark/>
          </w:tcPr>
          <w:p w:rsidR="00401DB8" w:rsidRPr="00D13757" w:rsidRDefault="00401DB8" w:rsidP="00401DB8">
            <w:pPr>
              <w:jc w:val="center"/>
            </w:pPr>
            <w:r w:rsidRPr="00D13757">
              <w:t>708.07</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56.36</w:t>
            </w:r>
          </w:p>
        </w:tc>
        <w:tc>
          <w:tcPr>
            <w:tcW w:w="906" w:type="dxa"/>
            <w:noWrap/>
            <w:hideMark/>
          </w:tcPr>
          <w:p w:rsidR="00401DB8" w:rsidRPr="00A510AA" w:rsidRDefault="00401DB8" w:rsidP="00401DB8">
            <w:pPr>
              <w:jc w:val="center"/>
            </w:pPr>
            <w:r w:rsidRPr="00A510AA">
              <w:t>264.64</w:t>
            </w:r>
          </w:p>
        </w:tc>
        <w:tc>
          <w:tcPr>
            <w:tcW w:w="1021" w:type="dxa"/>
            <w:noWrap/>
            <w:hideMark/>
          </w:tcPr>
          <w:p w:rsidR="00401DB8" w:rsidRPr="00A510AA" w:rsidRDefault="00401DB8" w:rsidP="00401DB8">
            <w:pPr>
              <w:jc w:val="center"/>
            </w:pPr>
            <w:r w:rsidRPr="00A510AA">
              <w:t>1111.47</w:t>
            </w:r>
          </w:p>
        </w:tc>
        <w:tc>
          <w:tcPr>
            <w:tcW w:w="1069" w:type="dxa"/>
            <w:noWrap/>
            <w:hideMark/>
          </w:tcPr>
          <w:p w:rsidR="00401DB8" w:rsidRPr="001D6825" w:rsidRDefault="00401DB8" w:rsidP="00401DB8">
            <w:pPr>
              <w:jc w:val="center"/>
              <w:rPr>
                <w:b/>
              </w:rPr>
            </w:pPr>
            <w:r w:rsidRPr="001D6825">
              <w:rPr>
                <w:b/>
              </w:rPr>
              <w:t>1819.53</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20</w:t>
            </w:r>
          </w:p>
        </w:tc>
        <w:tc>
          <w:tcPr>
            <w:tcW w:w="1072" w:type="dxa"/>
            <w:noWrap/>
            <w:hideMark/>
          </w:tcPr>
          <w:p w:rsidR="00401DB8" w:rsidRPr="00D13757" w:rsidRDefault="00401DB8" w:rsidP="00401DB8">
            <w:pPr>
              <w:jc w:val="center"/>
            </w:pPr>
            <w:r w:rsidRPr="00D13757">
              <w:t>172.00</w:t>
            </w:r>
          </w:p>
        </w:tc>
        <w:tc>
          <w:tcPr>
            <w:tcW w:w="1204" w:type="dxa"/>
            <w:noWrap/>
            <w:hideMark/>
          </w:tcPr>
          <w:p w:rsidR="00401DB8" w:rsidRPr="00D13757" w:rsidRDefault="00401DB8" w:rsidP="00401DB8">
            <w:pPr>
              <w:jc w:val="center"/>
            </w:pPr>
            <w:r w:rsidRPr="00D13757">
              <w:t>745.33</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61.95</w:t>
            </w:r>
          </w:p>
        </w:tc>
        <w:tc>
          <w:tcPr>
            <w:tcW w:w="906" w:type="dxa"/>
            <w:noWrap/>
            <w:hideMark/>
          </w:tcPr>
          <w:p w:rsidR="00401DB8" w:rsidRPr="00A510AA" w:rsidRDefault="00401DB8" w:rsidP="00401DB8">
            <w:pPr>
              <w:jc w:val="center"/>
            </w:pPr>
            <w:r w:rsidRPr="00A510AA">
              <w:t>259.05</w:t>
            </w:r>
          </w:p>
        </w:tc>
        <w:tc>
          <w:tcPr>
            <w:tcW w:w="1021" w:type="dxa"/>
            <w:noWrap/>
            <w:hideMark/>
          </w:tcPr>
          <w:p w:rsidR="00401DB8" w:rsidRPr="00A510AA" w:rsidRDefault="00401DB8" w:rsidP="00401DB8">
            <w:pPr>
              <w:jc w:val="center"/>
            </w:pPr>
            <w:r w:rsidRPr="00A510AA">
              <w:t>1087.99</w:t>
            </w:r>
          </w:p>
        </w:tc>
        <w:tc>
          <w:tcPr>
            <w:tcW w:w="1069" w:type="dxa"/>
            <w:noWrap/>
            <w:hideMark/>
          </w:tcPr>
          <w:p w:rsidR="00401DB8" w:rsidRPr="001D6825" w:rsidRDefault="00401DB8" w:rsidP="00401DB8">
            <w:pPr>
              <w:jc w:val="center"/>
              <w:rPr>
                <w:b/>
              </w:rPr>
            </w:pPr>
            <w:r w:rsidRPr="001D6825">
              <w:rPr>
                <w:b/>
              </w:rPr>
              <w:t>1833.32</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21</w:t>
            </w:r>
          </w:p>
        </w:tc>
        <w:tc>
          <w:tcPr>
            <w:tcW w:w="1072" w:type="dxa"/>
            <w:noWrap/>
            <w:hideMark/>
          </w:tcPr>
          <w:p w:rsidR="00401DB8" w:rsidRPr="00D13757" w:rsidRDefault="00401DB8" w:rsidP="00401DB8">
            <w:pPr>
              <w:jc w:val="center"/>
            </w:pPr>
            <w:r w:rsidRPr="00D13757">
              <w:t>180.60</w:t>
            </w:r>
          </w:p>
        </w:tc>
        <w:tc>
          <w:tcPr>
            <w:tcW w:w="1204" w:type="dxa"/>
            <w:noWrap/>
            <w:hideMark/>
          </w:tcPr>
          <w:p w:rsidR="00401DB8" w:rsidRPr="00D13757" w:rsidRDefault="00401DB8" w:rsidP="00401DB8">
            <w:pPr>
              <w:jc w:val="center"/>
            </w:pPr>
            <w:r w:rsidRPr="00D13757">
              <w:t>782.60</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67.54</w:t>
            </w:r>
          </w:p>
        </w:tc>
        <w:tc>
          <w:tcPr>
            <w:tcW w:w="906" w:type="dxa"/>
            <w:noWrap/>
            <w:hideMark/>
          </w:tcPr>
          <w:p w:rsidR="00401DB8" w:rsidRPr="00A510AA" w:rsidRDefault="00401DB8" w:rsidP="00401DB8">
            <w:pPr>
              <w:jc w:val="center"/>
            </w:pPr>
            <w:r w:rsidRPr="00A510AA">
              <w:t>253.46</w:t>
            </w:r>
          </w:p>
        </w:tc>
        <w:tc>
          <w:tcPr>
            <w:tcW w:w="1021" w:type="dxa"/>
            <w:noWrap/>
            <w:hideMark/>
          </w:tcPr>
          <w:p w:rsidR="00401DB8" w:rsidRPr="00A510AA" w:rsidRDefault="00401DB8" w:rsidP="00401DB8">
            <w:pPr>
              <w:jc w:val="center"/>
            </w:pPr>
            <w:r w:rsidRPr="00A510AA">
              <w:t>1064.51</w:t>
            </w:r>
          </w:p>
        </w:tc>
        <w:tc>
          <w:tcPr>
            <w:tcW w:w="1069" w:type="dxa"/>
            <w:noWrap/>
            <w:hideMark/>
          </w:tcPr>
          <w:p w:rsidR="00401DB8" w:rsidRPr="001D6825" w:rsidRDefault="00401DB8" w:rsidP="00401DB8">
            <w:pPr>
              <w:jc w:val="center"/>
              <w:rPr>
                <w:b/>
              </w:rPr>
            </w:pPr>
            <w:r w:rsidRPr="001D6825">
              <w:rPr>
                <w:b/>
              </w:rPr>
              <w:t>1847.11</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22</w:t>
            </w:r>
          </w:p>
        </w:tc>
        <w:tc>
          <w:tcPr>
            <w:tcW w:w="1072" w:type="dxa"/>
            <w:noWrap/>
            <w:hideMark/>
          </w:tcPr>
          <w:p w:rsidR="00401DB8" w:rsidRPr="00D13757" w:rsidRDefault="00401DB8" w:rsidP="00401DB8">
            <w:pPr>
              <w:jc w:val="center"/>
            </w:pPr>
            <w:r w:rsidRPr="00D13757">
              <w:t>189.20</w:t>
            </w:r>
          </w:p>
        </w:tc>
        <w:tc>
          <w:tcPr>
            <w:tcW w:w="1204" w:type="dxa"/>
            <w:noWrap/>
            <w:hideMark/>
          </w:tcPr>
          <w:p w:rsidR="00401DB8" w:rsidRPr="00D13757" w:rsidRDefault="00401DB8" w:rsidP="00401DB8">
            <w:pPr>
              <w:jc w:val="center"/>
            </w:pPr>
            <w:r w:rsidRPr="00D13757">
              <w:t>819.87</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73.13</w:t>
            </w:r>
          </w:p>
        </w:tc>
        <w:tc>
          <w:tcPr>
            <w:tcW w:w="906" w:type="dxa"/>
            <w:noWrap/>
            <w:hideMark/>
          </w:tcPr>
          <w:p w:rsidR="00401DB8" w:rsidRPr="00A510AA" w:rsidRDefault="00401DB8" w:rsidP="00401DB8">
            <w:pPr>
              <w:jc w:val="center"/>
            </w:pPr>
            <w:r w:rsidRPr="00A510AA">
              <w:t>247.87</w:t>
            </w:r>
          </w:p>
        </w:tc>
        <w:tc>
          <w:tcPr>
            <w:tcW w:w="1021" w:type="dxa"/>
            <w:noWrap/>
            <w:hideMark/>
          </w:tcPr>
          <w:p w:rsidR="00401DB8" w:rsidRPr="00A510AA" w:rsidRDefault="00401DB8" w:rsidP="00401DB8">
            <w:pPr>
              <w:jc w:val="center"/>
            </w:pPr>
            <w:r w:rsidRPr="00A510AA">
              <w:t>1041.03</w:t>
            </w:r>
          </w:p>
        </w:tc>
        <w:tc>
          <w:tcPr>
            <w:tcW w:w="1069" w:type="dxa"/>
            <w:noWrap/>
            <w:hideMark/>
          </w:tcPr>
          <w:p w:rsidR="00401DB8" w:rsidRPr="001D6825" w:rsidRDefault="00401DB8" w:rsidP="00401DB8">
            <w:pPr>
              <w:jc w:val="center"/>
              <w:rPr>
                <w:b/>
              </w:rPr>
            </w:pPr>
            <w:r w:rsidRPr="001D6825">
              <w:rPr>
                <w:b/>
              </w:rPr>
              <w:t>1860.90</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23</w:t>
            </w:r>
          </w:p>
        </w:tc>
        <w:tc>
          <w:tcPr>
            <w:tcW w:w="1072" w:type="dxa"/>
            <w:noWrap/>
            <w:hideMark/>
          </w:tcPr>
          <w:p w:rsidR="00401DB8" w:rsidRPr="00D13757" w:rsidRDefault="00401DB8" w:rsidP="00401DB8">
            <w:pPr>
              <w:jc w:val="center"/>
            </w:pPr>
            <w:r w:rsidRPr="00D13757">
              <w:t>197.80</w:t>
            </w:r>
          </w:p>
        </w:tc>
        <w:tc>
          <w:tcPr>
            <w:tcW w:w="1204" w:type="dxa"/>
            <w:noWrap/>
            <w:hideMark/>
          </w:tcPr>
          <w:p w:rsidR="00401DB8" w:rsidRPr="00D13757" w:rsidRDefault="00401DB8" w:rsidP="00401DB8">
            <w:pPr>
              <w:jc w:val="center"/>
            </w:pPr>
            <w:r w:rsidRPr="00D13757">
              <w:t>857.13</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78.72</w:t>
            </w:r>
          </w:p>
        </w:tc>
        <w:tc>
          <w:tcPr>
            <w:tcW w:w="906" w:type="dxa"/>
            <w:noWrap/>
            <w:hideMark/>
          </w:tcPr>
          <w:p w:rsidR="00401DB8" w:rsidRPr="00A510AA" w:rsidRDefault="00401DB8" w:rsidP="00401DB8">
            <w:pPr>
              <w:jc w:val="center"/>
            </w:pPr>
            <w:r w:rsidRPr="00A510AA">
              <w:t>242.28</w:t>
            </w:r>
          </w:p>
        </w:tc>
        <w:tc>
          <w:tcPr>
            <w:tcW w:w="1021" w:type="dxa"/>
            <w:noWrap/>
            <w:hideMark/>
          </w:tcPr>
          <w:p w:rsidR="00401DB8" w:rsidRPr="00A510AA" w:rsidRDefault="00401DB8" w:rsidP="00401DB8">
            <w:pPr>
              <w:jc w:val="center"/>
            </w:pPr>
            <w:r w:rsidRPr="00A510AA">
              <w:t>1017.56</w:t>
            </w:r>
          </w:p>
        </w:tc>
        <w:tc>
          <w:tcPr>
            <w:tcW w:w="1069" w:type="dxa"/>
            <w:noWrap/>
            <w:hideMark/>
          </w:tcPr>
          <w:p w:rsidR="00401DB8" w:rsidRPr="001D6825" w:rsidRDefault="00401DB8" w:rsidP="00401DB8">
            <w:pPr>
              <w:jc w:val="center"/>
              <w:rPr>
                <w:b/>
              </w:rPr>
            </w:pPr>
            <w:r w:rsidRPr="001D6825">
              <w:rPr>
                <w:b/>
              </w:rPr>
              <w:t>1874.69</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24</w:t>
            </w:r>
          </w:p>
        </w:tc>
        <w:tc>
          <w:tcPr>
            <w:tcW w:w="1072" w:type="dxa"/>
            <w:noWrap/>
            <w:hideMark/>
          </w:tcPr>
          <w:p w:rsidR="00401DB8" w:rsidRPr="00D13757" w:rsidRDefault="00401DB8" w:rsidP="00401DB8">
            <w:pPr>
              <w:jc w:val="center"/>
            </w:pPr>
            <w:r w:rsidRPr="00D13757">
              <w:t>206.40</w:t>
            </w:r>
          </w:p>
        </w:tc>
        <w:tc>
          <w:tcPr>
            <w:tcW w:w="1204" w:type="dxa"/>
            <w:noWrap/>
            <w:hideMark/>
          </w:tcPr>
          <w:p w:rsidR="00401DB8" w:rsidRPr="00D13757" w:rsidRDefault="00401DB8" w:rsidP="00401DB8">
            <w:pPr>
              <w:jc w:val="center"/>
            </w:pPr>
            <w:r w:rsidRPr="00D13757">
              <w:t>894.40</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84.31</w:t>
            </w:r>
          </w:p>
        </w:tc>
        <w:tc>
          <w:tcPr>
            <w:tcW w:w="906" w:type="dxa"/>
            <w:noWrap/>
            <w:hideMark/>
          </w:tcPr>
          <w:p w:rsidR="00401DB8" w:rsidRPr="00A510AA" w:rsidRDefault="00401DB8" w:rsidP="00401DB8">
            <w:pPr>
              <w:jc w:val="center"/>
            </w:pPr>
            <w:r w:rsidRPr="00A510AA">
              <w:t>236.69</w:t>
            </w:r>
          </w:p>
        </w:tc>
        <w:tc>
          <w:tcPr>
            <w:tcW w:w="1021" w:type="dxa"/>
            <w:noWrap/>
            <w:hideMark/>
          </w:tcPr>
          <w:p w:rsidR="00401DB8" w:rsidRPr="00A510AA" w:rsidRDefault="00401DB8" w:rsidP="00401DB8">
            <w:pPr>
              <w:jc w:val="center"/>
            </w:pPr>
            <w:r w:rsidRPr="00A510AA">
              <w:t>994.08</w:t>
            </w:r>
          </w:p>
        </w:tc>
        <w:tc>
          <w:tcPr>
            <w:tcW w:w="1069" w:type="dxa"/>
            <w:noWrap/>
            <w:hideMark/>
          </w:tcPr>
          <w:p w:rsidR="00401DB8" w:rsidRPr="001D6825" w:rsidRDefault="00401DB8" w:rsidP="00401DB8">
            <w:pPr>
              <w:jc w:val="center"/>
              <w:rPr>
                <w:b/>
              </w:rPr>
            </w:pPr>
            <w:r w:rsidRPr="001D6825">
              <w:rPr>
                <w:b/>
              </w:rPr>
              <w:t>1888.48</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25</w:t>
            </w:r>
          </w:p>
        </w:tc>
        <w:tc>
          <w:tcPr>
            <w:tcW w:w="1072" w:type="dxa"/>
            <w:noWrap/>
            <w:hideMark/>
          </w:tcPr>
          <w:p w:rsidR="00401DB8" w:rsidRPr="00D13757" w:rsidRDefault="00401DB8" w:rsidP="00401DB8">
            <w:pPr>
              <w:jc w:val="center"/>
            </w:pPr>
            <w:r w:rsidRPr="00D13757">
              <w:t>215.00</w:t>
            </w:r>
          </w:p>
        </w:tc>
        <w:tc>
          <w:tcPr>
            <w:tcW w:w="1204" w:type="dxa"/>
            <w:noWrap/>
            <w:hideMark/>
          </w:tcPr>
          <w:p w:rsidR="00401DB8" w:rsidRPr="00D13757" w:rsidRDefault="00401DB8" w:rsidP="00401DB8">
            <w:pPr>
              <w:jc w:val="center"/>
            </w:pPr>
            <w:r w:rsidRPr="00D13757">
              <w:t>931.67</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Pr="00D13757" w:rsidRDefault="00401DB8" w:rsidP="00401DB8">
            <w:pPr>
              <w:jc w:val="center"/>
            </w:pPr>
            <w:r w:rsidRPr="00D13757">
              <w:t>0</w:t>
            </w:r>
          </w:p>
        </w:tc>
        <w:tc>
          <w:tcPr>
            <w:tcW w:w="1147" w:type="dxa"/>
            <w:noWrap/>
            <w:hideMark/>
          </w:tcPr>
          <w:p w:rsidR="00401DB8" w:rsidRPr="00A510AA" w:rsidRDefault="00401DB8" w:rsidP="00401DB8">
            <w:pPr>
              <w:jc w:val="center"/>
            </w:pPr>
            <w:r w:rsidRPr="00A510AA">
              <w:t>89.90</w:t>
            </w:r>
          </w:p>
        </w:tc>
        <w:tc>
          <w:tcPr>
            <w:tcW w:w="906" w:type="dxa"/>
            <w:noWrap/>
            <w:hideMark/>
          </w:tcPr>
          <w:p w:rsidR="00401DB8" w:rsidRPr="00A510AA" w:rsidRDefault="00401DB8" w:rsidP="00401DB8">
            <w:pPr>
              <w:jc w:val="center"/>
            </w:pPr>
            <w:r w:rsidRPr="00A510AA">
              <w:t>231.10</w:t>
            </w:r>
          </w:p>
        </w:tc>
        <w:tc>
          <w:tcPr>
            <w:tcW w:w="1021" w:type="dxa"/>
            <w:noWrap/>
            <w:hideMark/>
          </w:tcPr>
          <w:p w:rsidR="00401DB8" w:rsidRPr="00A510AA" w:rsidRDefault="00401DB8" w:rsidP="00401DB8">
            <w:pPr>
              <w:jc w:val="center"/>
            </w:pPr>
            <w:r w:rsidRPr="00A510AA">
              <w:t>970.60</w:t>
            </w:r>
          </w:p>
        </w:tc>
        <w:tc>
          <w:tcPr>
            <w:tcW w:w="1069" w:type="dxa"/>
            <w:noWrap/>
            <w:hideMark/>
          </w:tcPr>
          <w:p w:rsidR="00401DB8" w:rsidRPr="001D6825" w:rsidRDefault="00401DB8" w:rsidP="00401DB8">
            <w:pPr>
              <w:jc w:val="center"/>
              <w:rPr>
                <w:b/>
              </w:rPr>
            </w:pPr>
            <w:r w:rsidRPr="001D6825">
              <w:rPr>
                <w:b/>
              </w:rPr>
              <w:t>1902.27</w:t>
            </w:r>
          </w:p>
        </w:tc>
      </w:tr>
      <w:tr w:rsidR="00401DB8" w:rsidRPr="00CE4528" w:rsidTr="00401DB8">
        <w:trPr>
          <w:trHeight w:val="263"/>
          <w:jc w:val="center"/>
        </w:trPr>
        <w:tc>
          <w:tcPr>
            <w:tcW w:w="987" w:type="dxa"/>
          </w:tcPr>
          <w:p w:rsidR="00401DB8" w:rsidRPr="00CE4528" w:rsidRDefault="00401DB8" w:rsidP="00401DB8">
            <w:pPr>
              <w:jc w:val="center"/>
              <w:rPr>
                <w:rFonts w:ascii="Arial" w:hAnsi="Arial" w:cs="Arial"/>
              </w:rPr>
            </w:pPr>
            <w:r>
              <w:rPr>
                <w:rFonts w:ascii="Arial" w:hAnsi="Arial" w:cs="Arial"/>
              </w:rPr>
              <w:t>26</w:t>
            </w:r>
          </w:p>
        </w:tc>
        <w:tc>
          <w:tcPr>
            <w:tcW w:w="1072" w:type="dxa"/>
            <w:noWrap/>
            <w:hideMark/>
          </w:tcPr>
          <w:p w:rsidR="00401DB8" w:rsidRPr="00D13757" w:rsidRDefault="00401DB8" w:rsidP="00401DB8">
            <w:pPr>
              <w:jc w:val="center"/>
            </w:pPr>
            <w:r w:rsidRPr="00D13757">
              <w:t>223.60</w:t>
            </w:r>
          </w:p>
        </w:tc>
        <w:tc>
          <w:tcPr>
            <w:tcW w:w="1204" w:type="dxa"/>
            <w:noWrap/>
            <w:hideMark/>
          </w:tcPr>
          <w:p w:rsidR="00401DB8" w:rsidRPr="00D13757" w:rsidRDefault="00401DB8" w:rsidP="00401DB8">
            <w:pPr>
              <w:jc w:val="center"/>
            </w:pPr>
            <w:r w:rsidRPr="00D13757">
              <w:t>968.93</w:t>
            </w:r>
          </w:p>
        </w:tc>
        <w:tc>
          <w:tcPr>
            <w:tcW w:w="1205" w:type="dxa"/>
            <w:noWrap/>
            <w:hideMark/>
          </w:tcPr>
          <w:p w:rsidR="00401DB8" w:rsidRPr="00D13757" w:rsidRDefault="00401DB8" w:rsidP="00401DB8">
            <w:pPr>
              <w:jc w:val="center"/>
            </w:pPr>
            <w:r w:rsidRPr="00D13757">
              <w:t>0.00</w:t>
            </w:r>
          </w:p>
        </w:tc>
        <w:tc>
          <w:tcPr>
            <w:tcW w:w="1139" w:type="dxa"/>
            <w:noWrap/>
            <w:hideMark/>
          </w:tcPr>
          <w:p w:rsidR="00401DB8" w:rsidRDefault="00401DB8" w:rsidP="00401DB8">
            <w:pPr>
              <w:jc w:val="center"/>
            </w:pPr>
            <w:r w:rsidRPr="00D13757">
              <w:t>0</w:t>
            </w:r>
          </w:p>
        </w:tc>
        <w:tc>
          <w:tcPr>
            <w:tcW w:w="1147" w:type="dxa"/>
            <w:noWrap/>
            <w:hideMark/>
          </w:tcPr>
          <w:p w:rsidR="00401DB8" w:rsidRPr="00A510AA" w:rsidRDefault="00401DB8" w:rsidP="00401DB8">
            <w:pPr>
              <w:jc w:val="center"/>
            </w:pPr>
            <w:r w:rsidRPr="00A510AA">
              <w:t>95.49</w:t>
            </w:r>
          </w:p>
        </w:tc>
        <w:tc>
          <w:tcPr>
            <w:tcW w:w="906" w:type="dxa"/>
            <w:noWrap/>
            <w:hideMark/>
          </w:tcPr>
          <w:p w:rsidR="00401DB8" w:rsidRPr="00A510AA" w:rsidRDefault="00401DB8" w:rsidP="00401DB8">
            <w:pPr>
              <w:jc w:val="center"/>
            </w:pPr>
            <w:r w:rsidRPr="00A510AA">
              <w:t>225.51</w:t>
            </w:r>
          </w:p>
        </w:tc>
        <w:tc>
          <w:tcPr>
            <w:tcW w:w="1021" w:type="dxa"/>
            <w:noWrap/>
            <w:hideMark/>
          </w:tcPr>
          <w:p w:rsidR="00401DB8" w:rsidRPr="00A510AA" w:rsidRDefault="00401DB8" w:rsidP="00401DB8">
            <w:pPr>
              <w:jc w:val="center"/>
            </w:pPr>
            <w:r w:rsidRPr="00A510AA">
              <w:t>947.12</w:t>
            </w:r>
          </w:p>
        </w:tc>
        <w:tc>
          <w:tcPr>
            <w:tcW w:w="1069" w:type="dxa"/>
            <w:noWrap/>
            <w:hideMark/>
          </w:tcPr>
          <w:p w:rsidR="00401DB8" w:rsidRDefault="00401DB8" w:rsidP="00401DB8">
            <w:pPr>
              <w:jc w:val="center"/>
            </w:pPr>
            <w:r w:rsidRPr="00A510AA">
              <w:t>1916.05</w:t>
            </w:r>
          </w:p>
        </w:tc>
      </w:tr>
    </w:tbl>
    <w:p w:rsidR="00401DB8" w:rsidRPr="009B053E" w:rsidRDefault="009C63A7" w:rsidP="00401DB8">
      <w:pPr>
        <w:spacing w:after="0"/>
        <w:jc w:val="center"/>
        <w:rPr>
          <w:rFonts w:ascii="Arial" w:hAnsi="Arial" w:cs="Arial"/>
          <w:i/>
          <w:sz w:val="21"/>
          <w:szCs w:val="21"/>
        </w:rPr>
      </w:pPr>
      <w:r>
        <w:rPr>
          <w:rFonts w:ascii="Arial" w:hAnsi="Arial" w:cs="Arial"/>
          <w:i/>
          <w:sz w:val="21"/>
          <w:szCs w:val="21"/>
        </w:rPr>
        <w:t>Figure 4</w:t>
      </w:r>
      <w:r w:rsidR="00401DB8" w:rsidRPr="009B053E">
        <w:rPr>
          <w:rFonts w:ascii="Arial" w:hAnsi="Arial" w:cs="Arial"/>
          <w:i/>
          <w:sz w:val="21"/>
          <w:szCs w:val="21"/>
        </w:rPr>
        <w:t>:</w:t>
      </w:r>
      <w:r w:rsidR="00401DB8" w:rsidRPr="009B053E">
        <w:rPr>
          <w:rFonts w:ascii="Arial" w:eastAsia="Arial" w:hAnsi="Arial" w:cs="Arial"/>
          <w:i/>
          <w:color w:val="000000"/>
          <w:sz w:val="21"/>
          <w:szCs w:val="21"/>
        </w:rPr>
        <w:t xml:space="preserve"> </w:t>
      </w:r>
      <w:r w:rsidR="00401DB8" w:rsidRPr="009B053E">
        <w:rPr>
          <w:rFonts w:ascii="Arial" w:hAnsi="Arial" w:cs="Arial"/>
          <w:i/>
          <w:sz w:val="21"/>
          <w:szCs w:val="21"/>
        </w:rPr>
        <w:t>impact of UC and HB taper rates on overall income for an 18 year old living in supported accommodation in Lambeth, receiving the minimum wage and paying £320.99 rent who starts working over 15 hours.</w:t>
      </w:r>
    </w:p>
    <w:p w:rsidR="00401DB8" w:rsidRDefault="00401DB8" w:rsidP="00401DB8">
      <w:pPr>
        <w:spacing w:after="0"/>
        <w:rPr>
          <w:rFonts w:ascii="Arial" w:hAnsi="Arial" w:cs="Arial"/>
        </w:rPr>
      </w:pPr>
      <w:r>
        <w:rPr>
          <w:rFonts w:ascii="Arial" w:hAnsi="Arial" w:cs="Arial"/>
        </w:rPr>
        <w:t xml:space="preserve"> </w:t>
      </w:r>
    </w:p>
    <w:p w:rsidR="00401DB8" w:rsidRPr="00401DB8" w:rsidRDefault="00401DB8" w:rsidP="00401DB8">
      <w:pPr>
        <w:spacing w:after="0"/>
        <w:jc w:val="both"/>
        <w:rPr>
          <w:rFonts w:ascii="Arial" w:hAnsi="Arial" w:cs="Arial"/>
        </w:rPr>
      </w:pPr>
      <w:r>
        <w:rPr>
          <w:rFonts w:ascii="Arial" w:hAnsi="Arial" w:cs="Arial"/>
        </w:rPr>
        <w:t>A similar effect may be noticed in respec</w:t>
      </w:r>
      <w:r w:rsidR="000D182A">
        <w:rPr>
          <w:rFonts w:ascii="Arial" w:hAnsi="Arial" w:cs="Arial"/>
        </w:rPr>
        <w:t xml:space="preserve">t of part-time work. </w:t>
      </w:r>
      <w:r w:rsidR="000D182A" w:rsidRPr="000D182A">
        <w:rPr>
          <w:rFonts w:ascii="Arial" w:hAnsi="Arial" w:cs="Arial"/>
          <w:b/>
        </w:rPr>
        <w:t xml:space="preserve">While wages </w:t>
      </w:r>
      <w:r w:rsidRPr="000D182A">
        <w:rPr>
          <w:rFonts w:ascii="Arial" w:hAnsi="Arial" w:cs="Arial"/>
          <w:b/>
        </w:rPr>
        <w:t>for part-time work may be high, the limited number of hours (and by extension the constrained overall income while receiving benefits) means that young people working part-time may also be impacted by benefit rules in a more sustained way.</w:t>
      </w:r>
      <w:r>
        <w:rPr>
          <w:rFonts w:ascii="Arial" w:hAnsi="Arial" w:cs="Arial"/>
        </w:rPr>
        <w:t xml:space="preserve"> Anecdotal evidence, however, suggests that it is likely that young people living in supported accommodation and working will be earning the minimum wage</w:t>
      </w:r>
      <w:r w:rsidR="000D182A">
        <w:rPr>
          <w:rFonts w:ascii="Arial" w:hAnsi="Arial" w:cs="Arial"/>
        </w:rPr>
        <w:t xml:space="preserve"> – irrespective of whether it is part-time or full-time work</w:t>
      </w:r>
      <w:r>
        <w:rPr>
          <w:rFonts w:ascii="Arial" w:hAnsi="Arial" w:cs="Arial"/>
        </w:rPr>
        <w:t xml:space="preserve">. This suggests that, unlike those young people who may be able to work upwards of 19 hours per week for 21+ year olds or 26 for 18-20 year olds, this cohort is more susceptible to engaging in working patterns that prolong shortfalls in overall income. </w:t>
      </w:r>
    </w:p>
    <w:p w:rsidR="00401DB8" w:rsidRPr="00401DB8" w:rsidRDefault="00401DB8" w:rsidP="00401DB8">
      <w:pPr>
        <w:keepNext/>
        <w:keepLines/>
        <w:spacing w:before="120" w:after="120" w:line="240" w:lineRule="auto"/>
        <w:outlineLvl w:val="1"/>
        <w:rPr>
          <w:rFonts w:ascii="Arial" w:eastAsia="Times New Roman" w:hAnsi="Arial" w:cs="Times New Roman"/>
          <w:b/>
          <w:color w:val="440099"/>
          <w:sz w:val="28"/>
          <w:szCs w:val="32"/>
          <w:lang w:val="en" w:eastAsia="en-GB"/>
        </w:rPr>
      </w:pPr>
      <w:r w:rsidRPr="00401DB8">
        <w:rPr>
          <w:rFonts w:ascii="Arial" w:eastAsia="Times New Roman" w:hAnsi="Arial" w:cs="Times New Roman"/>
          <w:b/>
          <w:color w:val="440099"/>
          <w:sz w:val="28"/>
          <w:szCs w:val="32"/>
          <w:lang w:val="en" w:eastAsia="en-GB"/>
        </w:rPr>
        <w:t>Policy Recommendations</w:t>
      </w:r>
    </w:p>
    <w:p w:rsidR="001F4995" w:rsidRPr="001F4995" w:rsidRDefault="00401DB8" w:rsidP="001F4995">
      <w:pPr>
        <w:pStyle w:val="ListParagraph"/>
        <w:numPr>
          <w:ilvl w:val="0"/>
          <w:numId w:val="1"/>
        </w:numPr>
        <w:tabs>
          <w:tab w:val="left" w:pos="0"/>
        </w:tabs>
        <w:spacing w:after="240" w:line="256" w:lineRule="auto"/>
        <w:jc w:val="both"/>
        <w:rPr>
          <w:rFonts w:ascii="Arial" w:eastAsia="Arial" w:hAnsi="Arial" w:cs="Times New Roman"/>
          <w:b/>
        </w:rPr>
      </w:pPr>
      <w:r w:rsidRPr="001F4995">
        <w:rPr>
          <w:rFonts w:ascii="Arial" w:eastAsia="Arial" w:hAnsi="Arial" w:cs="Times New Roman"/>
          <w:b/>
        </w:rPr>
        <w:t>Reduce t</w:t>
      </w:r>
      <w:r w:rsidR="00E5658B">
        <w:rPr>
          <w:rFonts w:ascii="Arial" w:eastAsia="Arial" w:hAnsi="Arial" w:cs="Times New Roman"/>
          <w:b/>
        </w:rPr>
        <w:t>he taper rate from 65 per cent to 55 per cent</w:t>
      </w:r>
      <w:r w:rsidRPr="001F4995">
        <w:rPr>
          <w:rFonts w:ascii="Arial" w:eastAsia="Arial" w:hAnsi="Arial" w:cs="Times New Roman"/>
          <w:b/>
        </w:rPr>
        <w:t xml:space="preserve"> to bring it in line with UC. </w:t>
      </w:r>
      <w:r w:rsidRPr="001F4995">
        <w:rPr>
          <w:rFonts w:ascii="Arial" w:eastAsia="Arial" w:hAnsi="Arial" w:cs="Times New Roman"/>
        </w:rPr>
        <w:t xml:space="preserve">In order to ensure that young people in supported accommodation are not worse off than young people in other forms of accommodation when accessing employment, we encourage the government to reduce </w:t>
      </w:r>
      <w:r w:rsidR="00E5658B">
        <w:rPr>
          <w:rFonts w:ascii="Arial" w:eastAsia="Arial" w:hAnsi="Arial" w:cs="Times New Roman"/>
        </w:rPr>
        <w:t>the HB taper rate to 55 per cent</w:t>
      </w:r>
      <w:r w:rsidRPr="001F4995">
        <w:rPr>
          <w:rFonts w:ascii="Arial" w:eastAsia="Arial" w:hAnsi="Arial" w:cs="Times New Roman"/>
        </w:rPr>
        <w:t xml:space="preserve"> to bring it in line with UC. This would effectively reduce the amount that young people living in supported accommodation are being taxed for accessing work, as their HB would be reduced at a lower rate than it currently is (55p for every pound earned, as opposed to 65p on every pound).</w:t>
      </w:r>
    </w:p>
    <w:p w:rsidR="009C63A7" w:rsidRPr="001F4995" w:rsidRDefault="00401DB8" w:rsidP="001F4995">
      <w:pPr>
        <w:pStyle w:val="ListParagraph"/>
        <w:numPr>
          <w:ilvl w:val="0"/>
          <w:numId w:val="1"/>
        </w:numPr>
        <w:tabs>
          <w:tab w:val="left" w:pos="0"/>
        </w:tabs>
        <w:spacing w:after="240" w:line="256" w:lineRule="auto"/>
        <w:jc w:val="both"/>
        <w:rPr>
          <w:rFonts w:ascii="Arial" w:eastAsia="Arial" w:hAnsi="Arial" w:cs="Times New Roman"/>
          <w:b/>
        </w:rPr>
      </w:pPr>
      <w:r w:rsidRPr="001F4995">
        <w:rPr>
          <w:rFonts w:ascii="Arial" w:eastAsia="Arial" w:hAnsi="Arial" w:cs="Times New Roman"/>
          <w:b/>
        </w:rPr>
        <w:t xml:space="preserve">Increase the applicable amount to £531.11 a month, either by raising the personal allowance or introducing a new premium. </w:t>
      </w:r>
      <w:r w:rsidRPr="001F4995">
        <w:rPr>
          <w:rFonts w:ascii="Arial" w:eastAsia="Arial" w:hAnsi="Arial" w:cs="Times New Roman"/>
        </w:rPr>
        <w:t>We recommend that the applicable amount under HB should be increased to £531.11 a month (approximately £125 a week) so that a young person is no</w:t>
      </w:r>
      <w:r w:rsidR="00E5658B">
        <w:rPr>
          <w:rFonts w:ascii="Arial" w:eastAsia="Arial" w:hAnsi="Arial" w:cs="Times New Roman"/>
        </w:rPr>
        <w:t>t subject to a METR of over 100 per cent</w:t>
      </w:r>
      <w:r w:rsidRPr="001F4995">
        <w:rPr>
          <w:rFonts w:ascii="Arial" w:eastAsia="Arial" w:hAnsi="Arial" w:cs="Times New Roman"/>
        </w:rPr>
        <w:t xml:space="preserve"> and does not, therefore, experience a steep financial cliff edge. This would mean that a vulnerable young person is never having both their UC and HB tapered for a marginal hour of work. Making this change would mean that more work would always mean </w:t>
      </w:r>
      <w:r w:rsidRPr="001F4995">
        <w:rPr>
          <w:rFonts w:ascii="Arial" w:eastAsia="Arial" w:hAnsi="Arial" w:cs="Times New Roman"/>
        </w:rPr>
        <w:lastRenderedPageBreak/>
        <w:t>more pay for young people in supported accommodation. This simple change could be made by adding a separate personal allowance category for young people in supported accommodation, as already exists for ESA claimants, or introducing a new premium in their applicable amount.</w:t>
      </w:r>
    </w:p>
    <w:p w:rsidR="00401DB8" w:rsidRPr="009B053E" w:rsidRDefault="00401DB8" w:rsidP="00401DB8">
      <w:pPr>
        <w:spacing w:after="0" w:line="256" w:lineRule="auto"/>
        <w:jc w:val="both"/>
        <w:rPr>
          <w:rFonts w:ascii="Arial" w:eastAsia="Times New Roman" w:hAnsi="Arial" w:cs="Arial"/>
          <w:lang w:val="en" w:eastAsia="en-GB"/>
        </w:rPr>
      </w:pPr>
      <w:r w:rsidRPr="009B053E">
        <w:rPr>
          <w:rFonts w:ascii="Arial" w:eastAsia="Times New Roman" w:hAnsi="Arial" w:cs="Arial"/>
          <w:lang w:val="en" w:eastAsia="en-GB"/>
        </w:rPr>
        <w:t>If introduced at the same time, these new rules will have positive effects on young people living in supported accommodation, as working more hours will always lead to more money in their pockets (</w:t>
      </w:r>
      <w:r w:rsidRPr="009B053E">
        <w:rPr>
          <w:rFonts w:ascii="Arial" w:eastAsia="Times New Roman" w:hAnsi="Arial" w:cs="Arial"/>
          <w:i/>
          <w:lang w:val="en" w:eastAsia="en-GB"/>
        </w:rPr>
        <w:t>see graph below</w:t>
      </w:r>
      <w:r w:rsidRPr="009B053E">
        <w:rPr>
          <w:rFonts w:ascii="Arial" w:eastAsia="Times New Roman" w:hAnsi="Arial" w:cs="Arial"/>
          <w:lang w:val="en" w:eastAsia="en-GB"/>
        </w:rPr>
        <w:t xml:space="preserve">). This is because both policies reduce the </w:t>
      </w:r>
      <w:r w:rsidR="000D182A">
        <w:rPr>
          <w:rFonts w:ascii="Arial" w:eastAsia="Times New Roman" w:hAnsi="Arial" w:cs="Arial"/>
          <w:lang w:val="en" w:eastAsia="en-GB"/>
        </w:rPr>
        <w:t>rate at which additional income is tapered</w:t>
      </w:r>
      <w:r w:rsidRPr="009B053E">
        <w:rPr>
          <w:rFonts w:ascii="Arial" w:eastAsia="Times New Roman" w:hAnsi="Arial" w:cs="Arial"/>
          <w:lang w:val="en" w:eastAsia="en-GB"/>
        </w:rPr>
        <w:t xml:space="preserve"> and mean that people claimin</w:t>
      </w:r>
      <w:r w:rsidR="00E5658B">
        <w:rPr>
          <w:rFonts w:ascii="Arial" w:eastAsia="Times New Roman" w:hAnsi="Arial" w:cs="Arial"/>
          <w:lang w:val="en" w:eastAsia="en-GB"/>
        </w:rPr>
        <w:t>g both UC and HB will face a 55 per cent</w:t>
      </w:r>
      <w:r w:rsidRPr="009B053E">
        <w:rPr>
          <w:rFonts w:ascii="Arial" w:eastAsia="Times New Roman" w:hAnsi="Arial" w:cs="Arial"/>
          <w:lang w:val="en" w:eastAsia="en-GB"/>
        </w:rPr>
        <w:t xml:space="preserve"> METR from the first £1 they earn up to having tapered all their HB.</w:t>
      </w:r>
    </w:p>
    <w:p w:rsidR="00401DB8" w:rsidRPr="00401DB8" w:rsidRDefault="00401DB8" w:rsidP="00401DB8">
      <w:pPr>
        <w:spacing w:after="0" w:line="256" w:lineRule="auto"/>
        <w:rPr>
          <w:rFonts w:ascii="Arial" w:eastAsia="Times New Roman" w:hAnsi="Arial" w:cs="Arial"/>
          <w:i/>
          <w:sz w:val="21"/>
          <w:lang w:val="en" w:eastAsia="en-GB"/>
        </w:rPr>
      </w:pPr>
    </w:p>
    <w:p w:rsidR="00401DB8" w:rsidRPr="00401DB8" w:rsidRDefault="00401DB8" w:rsidP="00401DB8">
      <w:pPr>
        <w:spacing w:after="0" w:line="256" w:lineRule="auto"/>
        <w:jc w:val="center"/>
        <w:rPr>
          <w:rFonts w:ascii="Arial" w:eastAsia="Times New Roman" w:hAnsi="Arial" w:cs="Arial"/>
          <w:i/>
          <w:sz w:val="21"/>
          <w:lang w:val="en" w:eastAsia="en-GB"/>
        </w:rPr>
      </w:pPr>
    </w:p>
    <w:p w:rsidR="00401DB8" w:rsidRPr="00401DB8" w:rsidRDefault="00401DB8" w:rsidP="00401DB8">
      <w:pPr>
        <w:spacing w:after="0" w:line="256" w:lineRule="auto"/>
        <w:jc w:val="center"/>
        <w:rPr>
          <w:rFonts w:ascii="Arial" w:eastAsia="Times New Roman" w:hAnsi="Arial" w:cs="Arial"/>
          <w:i/>
          <w:sz w:val="21"/>
          <w:lang w:val="en" w:eastAsia="en-GB"/>
        </w:rPr>
      </w:pPr>
      <w:r w:rsidRPr="00401DB8">
        <w:rPr>
          <w:rFonts w:ascii="Arial" w:eastAsia="Times New Roman" w:hAnsi="Arial" w:cs="Times New Roman"/>
          <w:noProof/>
          <w:sz w:val="21"/>
          <w:lang w:eastAsia="en-GB"/>
        </w:rPr>
        <w:drawing>
          <wp:inline distT="0" distB="0" distL="0" distR="0" wp14:anchorId="48ED7A09" wp14:editId="03D2D42F">
            <wp:extent cx="4603750" cy="2663825"/>
            <wp:effectExtent l="0" t="0" r="6350" b="3175"/>
            <wp:docPr id="3" name="Chart 4">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1DB8" w:rsidRPr="00401DB8" w:rsidRDefault="009C63A7" w:rsidP="00401DB8">
      <w:pPr>
        <w:spacing w:after="0" w:line="256" w:lineRule="auto"/>
        <w:jc w:val="center"/>
        <w:rPr>
          <w:rFonts w:ascii="Arial" w:eastAsia="Times New Roman" w:hAnsi="Arial" w:cs="Arial"/>
          <w:i/>
          <w:sz w:val="21"/>
          <w:lang w:val="en" w:eastAsia="en-GB"/>
        </w:rPr>
      </w:pPr>
      <w:r>
        <w:rPr>
          <w:rFonts w:ascii="Arial" w:eastAsia="Times New Roman" w:hAnsi="Arial" w:cs="Arial"/>
          <w:i/>
          <w:sz w:val="21"/>
          <w:lang w:val="en" w:eastAsia="en-GB"/>
        </w:rPr>
        <w:t>Figure 5</w:t>
      </w:r>
      <w:r w:rsidR="00401DB8" w:rsidRPr="00401DB8">
        <w:rPr>
          <w:rFonts w:ascii="Arial" w:eastAsia="Times New Roman" w:hAnsi="Arial" w:cs="Arial"/>
          <w:i/>
          <w:sz w:val="21"/>
          <w:lang w:val="en" w:eastAsia="en-GB"/>
        </w:rPr>
        <w:t>: graph illustrating the impact of our recommendations for a 21 year old receiving the minimum wage living in supported accommodation (blue) compared to a peer of the same age and earning the same amount living in private rented accommodation (yellow).</w:t>
      </w:r>
    </w:p>
    <w:p w:rsidR="00401DB8" w:rsidRPr="00401DB8" w:rsidRDefault="00401DB8" w:rsidP="00401DB8">
      <w:pPr>
        <w:spacing w:after="0" w:line="256" w:lineRule="auto"/>
        <w:jc w:val="center"/>
        <w:rPr>
          <w:rFonts w:ascii="Arial" w:eastAsia="Times New Roman" w:hAnsi="Arial" w:cs="Arial"/>
          <w:i/>
          <w:sz w:val="21"/>
          <w:lang w:val="en" w:eastAsia="en-GB"/>
        </w:rPr>
      </w:pPr>
    </w:p>
    <w:p w:rsidR="00401DB8" w:rsidRPr="009B053E" w:rsidRDefault="00401DB8" w:rsidP="00401DB8">
      <w:pPr>
        <w:spacing w:after="0" w:line="276" w:lineRule="auto"/>
        <w:jc w:val="both"/>
        <w:rPr>
          <w:rFonts w:ascii="Arial" w:eastAsia="Arial" w:hAnsi="Arial" w:cs="Arial"/>
          <w:color w:val="000000"/>
          <w:szCs w:val="21"/>
          <w:lang w:val="en" w:eastAsia="en-GB"/>
        </w:rPr>
      </w:pPr>
      <w:r w:rsidRPr="000D182A">
        <w:rPr>
          <w:rFonts w:ascii="Arial" w:eastAsia="Arial" w:hAnsi="Arial" w:cs="Arial"/>
          <w:b/>
          <w:color w:val="000000"/>
          <w:szCs w:val="21"/>
          <w:lang w:val="en" w:eastAsia="en-GB"/>
        </w:rPr>
        <w:t xml:space="preserve">Working in concert, the policies save the UK government a significant amount per year, due to the large number of people claiming HB and UC who are currently unemployed. </w:t>
      </w:r>
      <w:r w:rsidRPr="009B053E">
        <w:rPr>
          <w:rFonts w:ascii="Arial" w:eastAsia="Arial" w:hAnsi="Arial" w:cs="Arial"/>
          <w:color w:val="000000"/>
          <w:szCs w:val="21"/>
          <w:lang w:val="en" w:eastAsia="en-GB"/>
        </w:rPr>
        <w:t>While the proportional drop in une</w:t>
      </w:r>
      <w:r w:rsidR="00E5658B">
        <w:rPr>
          <w:rFonts w:ascii="Arial" w:eastAsia="Arial" w:hAnsi="Arial" w:cs="Arial"/>
          <w:color w:val="000000"/>
          <w:szCs w:val="21"/>
          <w:lang w:val="en" w:eastAsia="en-GB"/>
        </w:rPr>
        <w:t>mployment is small (averaging 5 per cent</w:t>
      </w:r>
      <w:r w:rsidRPr="009B053E">
        <w:rPr>
          <w:rFonts w:ascii="Arial" w:eastAsia="Arial" w:hAnsi="Arial" w:cs="Arial"/>
          <w:color w:val="000000"/>
          <w:szCs w:val="21"/>
          <w:lang w:val="en" w:eastAsia="en-GB"/>
        </w:rPr>
        <w:t xml:space="preserve"> across age groups), this is more than sufficient to offset the increased costs. This is because the amount of benefits tapered for those moving into employment are much larger than the additional benefits paid to those currently employed. </w:t>
      </w:r>
    </w:p>
    <w:p w:rsidR="00401DB8" w:rsidRPr="009B053E" w:rsidRDefault="00401DB8" w:rsidP="00401DB8">
      <w:pPr>
        <w:spacing w:after="0" w:line="276" w:lineRule="auto"/>
        <w:jc w:val="both"/>
        <w:rPr>
          <w:rFonts w:ascii="Arial" w:eastAsia="Arial" w:hAnsi="Arial" w:cs="Arial"/>
          <w:color w:val="000000"/>
          <w:szCs w:val="21"/>
          <w:lang w:val="en" w:eastAsia="en-GB"/>
        </w:rPr>
      </w:pPr>
    </w:p>
    <w:p w:rsidR="00401DB8" w:rsidRPr="009B053E" w:rsidRDefault="00401DB8" w:rsidP="00401DB8">
      <w:pPr>
        <w:spacing w:after="0" w:line="276" w:lineRule="auto"/>
        <w:jc w:val="both"/>
        <w:rPr>
          <w:rFonts w:ascii="Arial" w:eastAsia="Arial" w:hAnsi="Arial" w:cs="Arial"/>
          <w:color w:val="000000"/>
          <w:szCs w:val="21"/>
          <w:lang w:val="en" w:eastAsia="en-GB"/>
        </w:rPr>
      </w:pPr>
      <w:r w:rsidRPr="009B053E">
        <w:rPr>
          <w:rFonts w:ascii="Arial" w:eastAsia="Arial" w:hAnsi="Arial" w:cs="Arial"/>
          <w:color w:val="000000"/>
          <w:szCs w:val="21"/>
          <w:lang w:val="en" w:eastAsia="en-GB"/>
        </w:rPr>
        <w:t>The estimates below, developed</w:t>
      </w:r>
      <w:r w:rsidR="000D182A">
        <w:rPr>
          <w:rFonts w:ascii="Arial" w:eastAsia="Arial" w:hAnsi="Arial" w:cs="Arial"/>
          <w:color w:val="000000"/>
          <w:szCs w:val="21"/>
          <w:lang w:val="en" w:eastAsia="en-GB"/>
        </w:rPr>
        <w:t xml:space="preserve"> by e</w:t>
      </w:r>
      <w:r w:rsidRPr="009B053E">
        <w:rPr>
          <w:rFonts w:ascii="Arial" w:eastAsia="Arial" w:hAnsi="Arial" w:cs="Arial"/>
          <w:color w:val="000000"/>
          <w:szCs w:val="21"/>
          <w:lang w:val="en" w:eastAsia="en-GB"/>
        </w:rPr>
        <w:t xml:space="preserve">conomics research agency </w:t>
      </w:r>
      <w:proofErr w:type="spellStart"/>
      <w:r w:rsidRPr="009B053E">
        <w:rPr>
          <w:rFonts w:ascii="Arial" w:eastAsia="Arial" w:hAnsi="Arial" w:cs="Arial"/>
          <w:color w:val="000000"/>
          <w:szCs w:val="21"/>
          <w:lang w:val="en" w:eastAsia="en-GB"/>
        </w:rPr>
        <w:t>Oxera</w:t>
      </w:r>
      <w:proofErr w:type="spellEnd"/>
      <w:r w:rsidRPr="009B053E">
        <w:rPr>
          <w:rFonts w:ascii="Arial" w:eastAsia="Arial" w:hAnsi="Arial" w:cs="Arial"/>
          <w:color w:val="000000"/>
          <w:szCs w:val="21"/>
          <w:lang w:val="en" w:eastAsia="en-GB"/>
        </w:rPr>
        <w:t xml:space="preserve"> on behalf of Centrepoint, set out the direct costs/benefits to the Treasury of these two policies working in conjunction, disaggregated by age group:</w:t>
      </w:r>
    </w:p>
    <w:p w:rsidR="00401DB8" w:rsidRPr="00401DB8" w:rsidRDefault="00401DB8" w:rsidP="00401DB8">
      <w:pPr>
        <w:spacing w:after="0" w:line="276" w:lineRule="auto"/>
        <w:jc w:val="both"/>
        <w:rPr>
          <w:rFonts w:ascii="Arial" w:eastAsia="Arial" w:hAnsi="Arial" w:cs="Arial"/>
          <w:color w:val="000000"/>
          <w:sz w:val="21"/>
          <w:szCs w:val="21"/>
          <w:lang w:val="en" w:eastAsia="en-GB"/>
        </w:rPr>
      </w:pPr>
    </w:p>
    <w:tbl>
      <w:tblPr>
        <w:tblStyle w:val="TableBriefing"/>
        <w:tblW w:w="7491" w:type="dxa"/>
        <w:jc w:val="center"/>
        <w:tblInd w:w="0" w:type="dxa"/>
        <w:tblLook w:val="04A0" w:firstRow="1" w:lastRow="0" w:firstColumn="1" w:lastColumn="0" w:noHBand="0" w:noVBand="1"/>
      </w:tblPr>
      <w:tblGrid>
        <w:gridCol w:w="2041"/>
        <w:gridCol w:w="126"/>
        <w:gridCol w:w="1367"/>
        <w:gridCol w:w="2208"/>
        <w:gridCol w:w="1773"/>
      </w:tblGrid>
      <w:tr w:rsidR="00401DB8" w:rsidRPr="00401DB8" w:rsidTr="00401DB8">
        <w:trPr>
          <w:cnfStyle w:val="100000000000" w:firstRow="1" w:lastRow="0" w:firstColumn="0" w:lastColumn="0" w:oddVBand="0" w:evenVBand="0" w:oddHBand="0" w:evenHBand="0" w:firstRowFirstColumn="0" w:firstRowLastColumn="0" w:lastRowFirstColumn="0" w:lastRowLastColumn="0"/>
          <w:cantSplit/>
          <w:trHeight w:val="16"/>
          <w:tblHeader/>
          <w:jc w:val="center"/>
        </w:trPr>
        <w:tc>
          <w:tcPr>
            <w:cnfStyle w:val="001000000000" w:firstRow="0" w:lastRow="0" w:firstColumn="1" w:lastColumn="0" w:oddVBand="0" w:evenVBand="0" w:oddHBand="0" w:evenHBand="0" w:firstRowFirstColumn="0" w:firstRowLastColumn="0" w:lastRowFirstColumn="0" w:lastRowLastColumn="0"/>
            <w:tcW w:w="2159"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ascii="Arial" w:hAnsi="Arial" w:cs="Arial"/>
                <w:b/>
                <w:sz w:val="21"/>
                <w:szCs w:val="21"/>
                <w:lang w:eastAsia="en-GB"/>
              </w:rPr>
            </w:pPr>
            <w:r w:rsidRPr="00401DB8">
              <w:rPr>
                <w:rFonts w:ascii="Arial" w:hAnsi="Arial" w:cs="Arial"/>
                <w:b/>
                <w:sz w:val="21"/>
                <w:szCs w:val="21"/>
                <w:lang w:eastAsia="en-GB"/>
              </w:rPr>
              <w:t>Employment status</w:t>
            </w:r>
          </w:p>
        </w:tc>
        <w:tc>
          <w:tcPr>
            <w:tcW w:w="1359" w:type="dxa"/>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lang w:eastAsia="en-GB"/>
              </w:rPr>
            </w:pPr>
            <w:r w:rsidRPr="00401DB8">
              <w:rPr>
                <w:rFonts w:ascii="Arial" w:hAnsi="Arial" w:cs="Arial"/>
                <w:b/>
                <w:sz w:val="21"/>
                <w:szCs w:val="21"/>
                <w:lang w:eastAsia="en-GB"/>
              </w:rPr>
              <w:t>Age group</w:t>
            </w:r>
          </w:p>
        </w:tc>
        <w:tc>
          <w:tcPr>
            <w:tcW w:w="3973"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lang w:eastAsia="en-GB"/>
              </w:rPr>
            </w:pPr>
            <w:r w:rsidRPr="00401DB8">
              <w:rPr>
                <w:rFonts w:ascii="Arial" w:hAnsi="Arial" w:cs="Arial"/>
                <w:b/>
                <w:sz w:val="21"/>
                <w:szCs w:val="21"/>
                <w:lang w:eastAsia="en-GB"/>
              </w:rPr>
              <w:t>Additional costs (-) / savings(+)</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2033" w:type="dxa"/>
            <w:vMerge w:val="restart"/>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In employment</w:t>
            </w:r>
          </w:p>
        </w:tc>
        <w:tc>
          <w:tcPr>
            <w:tcW w:w="1485"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18–20</w:t>
            </w:r>
          </w:p>
        </w:tc>
        <w:tc>
          <w:tcPr>
            <w:tcW w:w="3973"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-£1,648,000</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485"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21–22</w:t>
            </w:r>
          </w:p>
        </w:tc>
        <w:tc>
          <w:tcPr>
            <w:tcW w:w="3973"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-£1,480,000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485"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23–24</w:t>
            </w:r>
          </w:p>
        </w:tc>
        <w:tc>
          <w:tcPr>
            <w:tcW w:w="3973"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-£1,526,300</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2033" w:type="dxa"/>
            <w:vMerge w:val="restart"/>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Not in employment</w:t>
            </w:r>
          </w:p>
        </w:tc>
        <w:tc>
          <w:tcPr>
            <w:tcW w:w="1485"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18–20</w:t>
            </w:r>
          </w:p>
        </w:tc>
        <w:tc>
          <w:tcPr>
            <w:tcW w:w="3973"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£3,487,300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63636"/>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485"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21–22</w:t>
            </w:r>
          </w:p>
        </w:tc>
        <w:tc>
          <w:tcPr>
            <w:tcW w:w="3973"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£2,694,200</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63636"/>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485"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23–24</w:t>
            </w:r>
          </w:p>
        </w:tc>
        <w:tc>
          <w:tcPr>
            <w:tcW w:w="3973"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£2,530,700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3518" w:type="dxa"/>
            <w:gridSpan w:val="3"/>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Total for those currently in employment</w:t>
            </w:r>
          </w:p>
        </w:tc>
        <w:tc>
          <w:tcPr>
            <w:tcW w:w="3973"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-£4,655,100</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3518" w:type="dxa"/>
            <w:gridSpan w:val="3"/>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Total for those currently not in employment</w:t>
            </w:r>
          </w:p>
        </w:tc>
        <w:tc>
          <w:tcPr>
            <w:tcW w:w="3973"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ascii="Calibri" w:hAnsi="Calibri"/>
                <w:sz w:val="21"/>
                <w:szCs w:val="21"/>
                <w:lang w:eastAsia="en-GB"/>
              </w:rPr>
            </w:pPr>
            <w:r w:rsidRPr="00401DB8">
              <w:rPr>
                <w:rFonts w:ascii="Calibri" w:hAnsi="Calibri"/>
                <w:sz w:val="21"/>
                <w:szCs w:val="21"/>
                <w:lang w:eastAsia="en-GB"/>
              </w:rPr>
              <w:t>£8,712,300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jc w:val="center"/>
        </w:trPr>
        <w:tc>
          <w:tcPr>
            <w:cnfStyle w:val="001000000000" w:firstRow="0" w:lastRow="0" w:firstColumn="1" w:lastColumn="0" w:oddVBand="0" w:evenVBand="0" w:oddHBand="0" w:evenHBand="0" w:firstRowFirstColumn="0" w:firstRowLastColumn="0" w:lastRowFirstColumn="0" w:lastRowLastColumn="0"/>
            <w:tcW w:w="5726" w:type="dxa"/>
            <w:gridSpan w:val="4"/>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right"/>
              <w:rPr>
                <w:rFonts w:cs="Arial"/>
                <w:b/>
                <w:sz w:val="21"/>
                <w:szCs w:val="21"/>
                <w:lang w:eastAsia="en-GB"/>
              </w:rPr>
            </w:pPr>
            <w:r w:rsidRPr="00401DB8">
              <w:rPr>
                <w:rFonts w:cs="Arial"/>
                <w:b/>
                <w:sz w:val="21"/>
                <w:szCs w:val="21"/>
                <w:lang w:eastAsia="en-GB"/>
              </w:rPr>
              <w:t>Total</w:t>
            </w:r>
          </w:p>
        </w:tc>
        <w:tc>
          <w:tcPr>
            <w:tcW w:w="1765" w:type="dxa"/>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cnfStyle w:val="000000100000" w:firstRow="0" w:lastRow="0" w:firstColumn="0" w:lastColumn="0" w:oddVBand="0" w:evenVBand="0" w:oddHBand="1" w:evenHBand="0" w:firstRowFirstColumn="0" w:firstRowLastColumn="0" w:lastRowFirstColumn="0" w:lastRowLastColumn="0"/>
              <w:rPr>
                <w:rFonts w:ascii="Calibri" w:hAnsi="Calibri"/>
                <w:sz w:val="21"/>
                <w:szCs w:val="21"/>
                <w:lang w:eastAsia="en-GB"/>
              </w:rPr>
            </w:pPr>
            <w:r w:rsidRPr="00401DB8">
              <w:rPr>
                <w:rFonts w:ascii="Calibri" w:hAnsi="Calibri"/>
                <w:sz w:val="21"/>
                <w:szCs w:val="21"/>
                <w:lang w:eastAsia="en-GB"/>
              </w:rPr>
              <w:t>£4,057,200</w:t>
            </w:r>
          </w:p>
        </w:tc>
      </w:tr>
    </w:tbl>
    <w:p w:rsidR="00401DB8" w:rsidRPr="00401DB8" w:rsidRDefault="009C63A7" w:rsidP="00401DB8">
      <w:pPr>
        <w:spacing w:after="0" w:line="276" w:lineRule="auto"/>
        <w:ind w:left="720"/>
        <w:contextualSpacing/>
        <w:jc w:val="center"/>
        <w:rPr>
          <w:rFonts w:ascii="Arial" w:eastAsia="Arial" w:hAnsi="Arial" w:cs="Arial"/>
          <w:i/>
          <w:color w:val="000000"/>
          <w:sz w:val="21"/>
          <w:szCs w:val="21"/>
          <w:lang w:val="en" w:eastAsia="en-GB"/>
        </w:rPr>
      </w:pPr>
      <w:r>
        <w:rPr>
          <w:rFonts w:ascii="Arial" w:eastAsia="Arial" w:hAnsi="Arial" w:cs="Arial"/>
          <w:i/>
          <w:color w:val="000000"/>
          <w:sz w:val="21"/>
          <w:szCs w:val="21"/>
          <w:lang w:val="en" w:eastAsia="en-GB"/>
        </w:rPr>
        <w:t>Figure 6</w:t>
      </w:r>
      <w:r w:rsidR="00401DB8" w:rsidRPr="00401DB8">
        <w:rPr>
          <w:rFonts w:ascii="Arial" w:eastAsia="Arial" w:hAnsi="Arial" w:cs="Arial"/>
          <w:i/>
          <w:color w:val="000000"/>
          <w:sz w:val="21"/>
          <w:szCs w:val="21"/>
          <w:lang w:val="en" w:eastAsia="en-GB"/>
        </w:rPr>
        <w:t>: costs and savings from our combined recommendations (2023-2024 benefit rates).</w:t>
      </w:r>
    </w:p>
    <w:p w:rsidR="00401DB8" w:rsidRPr="00401DB8" w:rsidRDefault="00401DB8" w:rsidP="00401DB8">
      <w:pPr>
        <w:spacing w:after="0" w:line="276" w:lineRule="auto"/>
        <w:ind w:left="720"/>
        <w:contextualSpacing/>
        <w:jc w:val="center"/>
        <w:rPr>
          <w:rFonts w:ascii="Arial" w:eastAsia="Arial" w:hAnsi="Arial" w:cs="Arial"/>
          <w:i/>
          <w:color w:val="000000"/>
          <w:sz w:val="21"/>
          <w:szCs w:val="21"/>
          <w:lang w:val="en" w:eastAsia="en-GB"/>
        </w:rPr>
      </w:pPr>
    </w:p>
    <w:p w:rsidR="00401DB8" w:rsidRPr="009B053E" w:rsidRDefault="00401DB8" w:rsidP="00401DB8">
      <w:pPr>
        <w:spacing w:after="0" w:line="276" w:lineRule="auto"/>
        <w:jc w:val="both"/>
        <w:rPr>
          <w:rFonts w:ascii="Arial" w:eastAsia="Arial" w:hAnsi="Arial" w:cs="Arial"/>
          <w:color w:val="000000"/>
          <w:szCs w:val="21"/>
          <w:lang w:val="en" w:eastAsia="en-GB"/>
        </w:rPr>
      </w:pPr>
      <w:r w:rsidRPr="009B053E">
        <w:rPr>
          <w:rFonts w:ascii="Arial" w:eastAsia="Arial" w:hAnsi="Arial" w:cs="Arial"/>
          <w:color w:val="000000"/>
          <w:szCs w:val="21"/>
          <w:lang w:val="en" w:eastAsia="en-GB"/>
        </w:rPr>
        <w:t xml:space="preserve">In addition to the direct savings to the Treasury, our analysis shows that there will be wider socioeconomic benefits for the Government through savings to the health and justice systems: </w:t>
      </w:r>
    </w:p>
    <w:p w:rsidR="00401DB8" w:rsidRPr="00401DB8" w:rsidRDefault="00401DB8" w:rsidP="009B053E">
      <w:pPr>
        <w:spacing w:after="0" w:line="276" w:lineRule="auto"/>
        <w:contextualSpacing/>
        <w:rPr>
          <w:rFonts w:ascii="Arial" w:eastAsia="Arial" w:hAnsi="Arial" w:cs="Arial"/>
          <w:i/>
          <w:color w:val="000000"/>
          <w:sz w:val="21"/>
          <w:szCs w:val="21"/>
          <w:lang w:val="en" w:eastAsia="en-GB"/>
        </w:rPr>
      </w:pPr>
    </w:p>
    <w:tbl>
      <w:tblPr>
        <w:tblStyle w:val="TableBriefing"/>
        <w:tblpPr w:leftFromText="180" w:rightFromText="180" w:topFromText="100" w:bottomFromText="100" w:vertAnchor="text" w:tblpXSpec="center" w:tblpYSpec="top"/>
        <w:tblOverlap w:val="never"/>
        <w:tblW w:w="9356" w:type="dxa"/>
        <w:tblInd w:w="0" w:type="dxa"/>
        <w:tblLook w:val="04A0" w:firstRow="1" w:lastRow="0" w:firstColumn="1" w:lastColumn="0" w:noHBand="0" w:noVBand="1"/>
      </w:tblPr>
      <w:tblGrid>
        <w:gridCol w:w="1297"/>
        <w:gridCol w:w="1388"/>
        <w:gridCol w:w="149"/>
        <w:gridCol w:w="3991"/>
        <w:gridCol w:w="114"/>
        <w:gridCol w:w="2417"/>
      </w:tblGrid>
      <w:tr w:rsidR="00401DB8" w:rsidRPr="00401DB8" w:rsidTr="00401DB8">
        <w:trPr>
          <w:cnfStyle w:val="100000000000" w:firstRow="1" w:lastRow="0" w:firstColumn="0" w:lastColumn="0" w:oddVBand="0" w:evenVBand="0" w:oddHBand="0" w:evenHBand="0" w:firstRowFirstColumn="0" w:firstRowLastColumn="0" w:lastRowFirstColumn="0" w:lastRowLastColumn="0"/>
          <w:cantSplit/>
          <w:trHeight w:val="16"/>
          <w:tblHeader/>
        </w:trPr>
        <w:tc>
          <w:tcPr>
            <w:cnfStyle w:val="001000000000" w:firstRow="0" w:lastRow="0" w:firstColumn="1" w:lastColumn="0" w:oddVBand="0" w:evenVBand="0" w:oddHBand="0" w:evenHBand="0" w:firstRowFirstColumn="0" w:firstRowLastColumn="0" w:lastRowFirstColumn="0" w:lastRowLastColumn="0"/>
            <w:tcW w:w="1289" w:type="dxa"/>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ascii="Arial" w:hAnsi="Arial" w:cs="Arial"/>
                <w:b/>
                <w:sz w:val="21"/>
                <w:szCs w:val="21"/>
                <w:lang w:eastAsia="en-GB"/>
              </w:rPr>
            </w:pPr>
            <w:r w:rsidRPr="00401DB8">
              <w:rPr>
                <w:rFonts w:ascii="Arial" w:hAnsi="Arial" w:cs="Arial"/>
                <w:b/>
                <w:sz w:val="21"/>
                <w:szCs w:val="21"/>
                <w:lang w:eastAsia="en-GB"/>
              </w:rPr>
              <w:t>Employment status</w:t>
            </w:r>
          </w:p>
        </w:tc>
        <w:tc>
          <w:tcPr>
            <w:tcW w:w="1380" w:type="dxa"/>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lang w:eastAsia="en-GB"/>
              </w:rPr>
            </w:pPr>
            <w:r w:rsidRPr="00401DB8">
              <w:rPr>
                <w:rFonts w:ascii="Arial" w:hAnsi="Arial" w:cs="Arial"/>
                <w:b/>
                <w:sz w:val="21"/>
                <w:szCs w:val="21"/>
                <w:lang w:eastAsia="en-GB"/>
              </w:rPr>
              <w:t>Age group</w:t>
            </w:r>
          </w:p>
        </w:tc>
        <w:tc>
          <w:tcPr>
            <w:tcW w:w="4076"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lang w:eastAsia="en-GB"/>
              </w:rPr>
            </w:pPr>
            <w:r w:rsidRPr="00401DB8">
              <w:rPr>
                <w:rFonts w:ascii="Arial" w:hAnsi="Arial" w:cs="Arial"/>
                <w:b/>
                <w:sz w:val="21"/>
                <w:szCs w:val="21"/>
                <w:lang w:eastAsia="en-GB"/>
              </w:rPr>
              <w:t>Mental health and crime benefits from increased income</w:t>
            </w:r>
          </w:p>
        </w:tc>
        <w:tc>
          <w:tcPr>
            <w:tcW w:w="2611" w:type="dxa"/>
            <w:gridSpan w:val="2"/>
            <w:tcBorders>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lang w:eastAsia="en-GB"/>
              </w:rPr>
            </w:pPr>
            <w:r w:rsidRPr="00401DB8">
              <w:rPr>
                <w:rFonts w:ascii="Arial" w:hAnsi="Arial" w:cs="Arial"/>
                <w:b/>
                <w:sz w:val="21"/>
                <w:szCs w:val="21"/>
                <w:lang w:eastAsia="en-GB"/>
              </w:rPr>
              <w:t>Total estimated mental and physical health benefits of increased employment</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1289" w:type="dxa"/>
            <w:vMerge w:val="restart"/>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In employment</w:t>
            </w:r>
          </w:p>
        </w:tc>
        <w:tc>
          <w:tcPr>
            <w:tcW w:w="1524"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18–20</w:t>
            </w:r>
          </w:p>
        </w:tc>
        <w:tc>
          <w:tcPr>
            <w:tcW w:w="4049"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£4,800</w:t>
            </w:r>
          </w:p>
        </w:tc>
        <w:tc>
          <w:tcPr>
            <w:tcW w:w="2494" w:type="dxa"/>
            <w:tcBorders>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524"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21–22</w:t>
            </w:r>
          </w:p>
        </w:tc>
        <w:tc>
          <w:tcPr>
            <w:tcW w:w="4049"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£4,300</w:t>
            </w:r>
          </w:p>
        </w:tc>
        <w:tc>
          <w:tcPr>
            <w:tcW w:w="2494" w:type="dxa"/>
            <w:tcBorders>
              <w:top w:val="single" w:sz="4" w:space="0" w:color="363636"/>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524"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23–24</w:t>
            </w:r>
          </w:p>
        </w:tc>
        <w:tc>
          <w:tcPr>
            <w:tcW w:w="4049"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£4,500</w:t>
            </w:r>
          </w:p>
        </w:tc>
        <w:tc>
          <w:tcPr>
            <w:tcW w:w="2494" w:type="dxa"/>
            <w:tcBorders>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1289" w:type="dxa"/>
            <w:vMerge w:val="restart"/>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Not in employment</w:t>
            </w:r>
          </w:p>
        </w:tc>
        <w:tc>
          <w:tcPr>
            <w:tcW w:w="1524"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18–20</w:t>
            </w:r>
          </w:p>
        </w:tc>
        <w:tc>
          <w:tcPr>
            <w:tcW w:w="4049"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£8,400</w:t>
            </w:r>
          </w:p>
        </w:tc>
        <w:tc>
          <w:tcPr>
            <w:tcW w:w="2494" w:type="dxa"/>
            <w:tcBorders>
              <w:top w:val="single" w:sz="4" w:space="0" w:color="363636"/>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£3,902,800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63636"/>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524"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21–22</w:t>
            </w:r>
          </w:p>
        </w:tc>
        <w:tc>
          <w:tcPr>
            <w:tcW w:w="4049" w:type="dxa"/>
            <w:gridSpan w:val="2"/>
            <w:tcBorders>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£6,500</w:t>
            </w:r>
          </w:p>
        </w:tc>
        <w:tc>
          <w:tcPr>
            <w:tcW w:w="2494" w:type="dxa"/>
            <w:tcBorders>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£2,222,700</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63636"/>
              <w:left w:val="nil"/>
              <w:bottom w:val="single" w:sz="4" w:space="0" w:color="363636"/>
              <w:right w:val="nil"/>
            </w:tcBorders>
            <w:vAlign w:val="center"/>
            <w:hideMark/>
          </w:tcPr>
          <w:p w:rsidR="00401DB8" w:rsidRPr="00401DB8" w:rsidRDefault="00401DB8" w:rsidP="00401DB8">
            <w:pPr>
              <w:spacing w:after="0"/>
              <w:rPr>
                <w:rFonts w:cs="Arial"/>
                <w:b/>
                <w:sz w:val="21"/>
                <w:szCs w:val="21"/>
              </w:rPr>
            </w:pPr>
          </w:p>
        </w:tc>
        <w:tc>
          <w:tcPr>
            <w:tcW w:w="1524"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23–24</w:t>
            </w:r>
          </w:p>
        </w:tc>
        <w:tc>
          <w:tcPr>
            <w:tcW w:w="4049" w:type="dxa"/>
            <w:gridSpan w:val="2"/>
            <w:tcBorders>
              <w:top w:val="single" w:sz="4" w:space="0" w:color="363636"/>
              <w:left w:val="nil"/>
              <w:bottom w:val="single" w:sz="4" w:space="0" w:color="363636"/>
              <w:right w:val="nil"/>
            </w:tcBorders>
            <w:noWrap/>
            <w:tcMar>
              <w:top w:w="0" w:type="dxa"/>
              <w:left w:w="0" w:type="dxa"/>
              <w:bottom w:w="113" w:type="dxa"/>
              <w:right w:w="28" w:type="dxa"/>
            </w:tcMar>
            <w:vAlign w:val="bottom"/>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£6,100</w:t>
            </w:r>
          </w:p>
        </w:tc>
        <w:tc>
          <w:tcPr>
            <w:tcW w:w="2494" w:type="dxa"/>
            <w:tcBorders>
              <w:top w:val="single" w:sz="4" w:space="0" w:color="363636"/>
              <w:left w:val="nil"/>
              <w:bottom w:val="single" w:sz="4" w:space="0" w:color="363636"/>
              <w:right w:val="nil"/>
            </w:tcBorders>
            <w:tcMar>
              <w:top w:w="0" w:type="dxa"/>
              <w:left w:w="0" w:type="dxa"/>
              <w:bottom w:w="113" w:type="dxa"/>
              <w:right w:w="28" w:type="dxa"/>
            </w:tcMar>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£2,035,800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1289" w:type="dxa"/>
            <w:tcBorders>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Total for those in employment</w:t>
            </w:r>
          </w:p>
        </w:tc>
        <w:tc>
          <w:tcPr>
            <w:tcW w:w="1524" w:type="dxa"/>
            <w:gridSpan w:val="2"/>
            <w:tcBorders>
              <w:left w:val="nil"/>
              <w:bottom w:val="single" w:sz="4" w:space="0" w:color="363636"/>
              <w:right w:val="nil"/>
            </w:tcBorders>
            <w:noWrap/>
            <w:tcMar>
              <w:top w:w="0" w:type="dxa"/>
              <w:left w:w="0" w:type="dxa"/>
              <w:bottom w:w="113" w:type="dxa"/>
              <w:right w:w="28" w:type="dxa"/>
            </w:tcMar>
            <w:vAlign w:val="center"/>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p>
        </w:tc>
        <w:tc>
          <w:tcPr>
            <w:tcW w:w="4049" w:type="dxa"/>
            <w:gridSpan w:val="2"/>
            <w:tcBorders>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£13,700</w:t>
            </w:r>
          </w:p>
        </w:tc>
        <w:tc>
          <w:tcPr>
            <w:tcW w:w="2494" w:type="dxa"/>
            <w:tcBorders>
              <w:left w:val="nil"/>
              <w:bottom w:val="single" w:sz="4" w:space="0" w:color="363636"/>
              <w:right w:val="nil"/>
            </w:tcBorders>
            <w:tcMar>
              <w:top w:w="0" w:type="dxa"/>
              <w:left w:w="0" w:type="dxa"/>
              <w:bottom w:w="113" w:type="dxa"/>
              <w:right w:w="28" w:type="dxa"/>
            </w:tcMar>
            <w:vAlign w:val="cente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w:t>
            </w:r>
          </w:p>
        </w:tc>
      </w:tr>
      <w:tr w:rsidR="00401DB8" w:rsidRPr="00401DB8" w:rsidTr="00401DB8">
        <w:trPr>
          <w:cnfStyle w:val="000000010000" w:firstRow="0" w:lastRow="0" w:firstColumn="0" w:lastColumn="0" w:oddVBand="0" w:evenVBand="0" w:oddHBand="0" w:evenHBand="1"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363636"/>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Total for those not yet in employment</w:t>
            </w:r>
          </w:p>
        </w:tc>
        <w:tc>
          <w:tcPr>
            <w:tcW w:w="1524" w:type="dxa"/>
            <w:gridSpan w:val="2"/>
            <w:tcBorders>
              <w:top w:val="single" w:sz="4" w:space="0" w:color="363636"/>
              <w:left w:val="nil"/>
              <w:bottom w:val="single" w:sz="4" w:space="0" w:color="363636"/>
              <w:right w:val="nil"/>
            </w:tcBorders>
            <w:noWrap/>
            <w:tcMar>
              <w:top w:w="0" w:type="dxa"/>
              <w:left w:w="0" w:type="dxa"/>
              <w:bottom w:w="113" w:type="dxa"/>
              <w:right w:w="28" w:type="dxa"/>
            </w:tcMar>
            <w:vAlign w:val="center"/>
          </w:tcPr>
          <w:p w:rsidR="00401DB8" w:rsidRPr="00401DB8" w:rsidRDefault="00401DB8" w:rsidP="00401DB8">
            <w:pPr>
              <w:ind w:firstLineChars="300" w:firstLine="630"/>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p>
        </w:tc>
        <w:tc>
          <w:tcPr>
            <w:tcW w:w="4049" w:type="dxa"/>
            <w:gridSpan w:val="2"/>
            <w:tcBorders>
              <w:top w:val="single" w:sz="4" w:space="0" w:color="363636"/>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£20,900</w:t>
            </w:r>
          </w:p>
        </w:tc>
        <w:tc>
          <w:tcPr>
            <w:tcW w:w="2494" w:type="dxa"/>
            <w:tcBorders>
              <w:top w:val="single" w:sz="4" w:space="0" w:color="363636"/>
              <w:left w:val="nil"/>
              <w:bottom w:val="single" w:sz="4" w:space="0" w:color="363636"/>
              <w:right w:val="nil"/>
            </w:tcBorders>
            <w:tcMar>
              <w:top w:w="0" w:type="dxa"/>
              <w:left w:w="0" w:type="dxa"/>
              <w:bottom w:w="113" w:type="dxa"/>
              <w:right w:w="28" w:type="dxa"/>
            </w:tcMar>
            <w:vAlign w:val="center"/>
          </w:tcPr>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p>
          <w:p w:rsidR="00401DB8" w:rsidRPr="00401DB8" w:rsidRDefault="00401DB8" w:rsidP="00401DB8">
            <w:pPr>
              <w:jc w:val="center"/>
              <w:cnfStyle w:val="000000010000" w:firstRow="0" w:lastRow="0" w:firstColumn="0" w:lastColumn="0" w:oddVBand="0" w:evenVBand="0" w:oddHBand="0" w:evenHBand="1" w:firstRowFirstColumn="0" w:firstRowLastColumn="0" w:lastRowFirstColumn="0" w:lastRowLastColumn="0"/>
              <w:rPr>
                <w:rFonts w:cs="Arial"/>
                <w:sz w:val="21"/>
                <w:szCs w:val="21"/>
                <w:lang w:eastAsia="en-GB"/>
              </w:rPr>
            </w:pPr>
            <w:r w:rsidRPr="00401DB8">
              <w:rPr>
                <w:rFonts w:cs="Arial"/>
                <w:sz w:val="21"/>
                <w:szCs w:val="21"/>
                <w:lang w:eastAsia="en-GB"/>
              </w:rPr>
              <w:t>£8,161,300</w:t>
            </w:r>
          </w:p>
        </w:tc>
      </w:tr>
      <w:tr w:rsidR="00401DB8" w:rsidRPr="00401DB8" w:rsidTr="00401DB8">
        <w:trPr>
          <w:cnfStyle w:val="000000100000" w:firstRow="0" w:lastRow="0" w:firstColumn="0" w:lastColumn="0" w:oddVBand="0" w:evenVBand="0" w:oddHBand="1" w:evenHBand="0" w:firstRowFirstColumn="0" w:firstRowLastColumn="0" w:lastRowFirstColumn="0" w:lastRowLastColumn="0"/>
          <w:cantSplit/>
          <w:trHeight w:val="16"/>
        </w:trPr>
        <w:tc>
          <w:tcPr>
            <w:cnfStyle w:val="001000000000" w:firstRow="0" w:lastRow="0" w:firstColumn="1" w:lastColumn="0" w:oddVBand="0" w:evenVBand="0" w:oddHBand="0" w:evenHBand="0" w:firstRowFirstColumn="0" w:firstRowLastColumn="0" w:lastRowFirstColumn="0" w:lastRowLastColumn="0"/>
            <w:tcW w:w="1289" w:type="dxa"/>
            <w:tcBorders>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rPr>
                <w:rFonts w:cs="Arial"/>
                <w:b/>
                <w:sz w:val="21"/>
                <w:szCs w:val="21"/>
                <w:lang w:eastAsia="en-GB"/>
              </w:rPr>
            </w:pPr>
            <w:r w:rsidRPr="00401DB8">
              <w:rPr>
                <w:rFonts w:cs="Arial"/>
                <w:b/>
                <w:sz w:val="21"/>
                <w:szCs w:val="21"/>
                <w:lang w:eastAsia="en-GB"/>
              </w:rPr>
              <w:t>Total</w:t>
            </w:r>
          </w:p>
        </w:tc>
        <w:tc>
          <w:tcPr>
            <w:tcW w:w="1524" w:type="dxa"/>
            <w:gridSpan w:val="2"/>
            <w:tcBorders>
              <w:left w:val="nil"/>
              <w:bottom w:val="single" w:sz="4" w:space="0" w:color="363636"/>
              <w:right w:val="nil"/>
            </w:tcBorders>
            <w:noWrap/>
            <w:tcMar>
              <w:top w:w="0" w:type="dxa"/>
              <w:left w:w="0" w:type="dxa"/>
              <w:bottom w:w="113" w:type="dxa"/>
              <w:right w:w="28" w:type="dxa"/>
            </w:tcMar>
            <w:vAlign w:val="center"/>
          </w:tcPr>
          <w:p w:rsidR="00401DB8" w:rsidRPr="00401DB8" w:rsidRDefault="00401DB8" w:rsidP="00401DB8">
            <w:pPr>
              <w:ind w:firstLineChars="300" w:firstLine="630"/>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p>
        </w:tc>
        <w:tc>
          <w:tcPr>
            <w:tcW w:w="4049" w:type="dxa"/>
            <w:gridSpan w:val="2"/>
            <w:tcBorders>
              <w:left w:val="nil"/>
              <w:bottom w:val="single" w:sz="4" w:space="0" w:color="363636"/>
              <w:right w:val="nil"/>
            </w:tcBorders>
            <w:noWrap/>
            <w:tcMar>
              <w:top w:w="0" w:type="dxa"/>
              <w:left w:w="0" w:type="dxa"/>
              <w:bottom w:w="113" w:type="dxa"/>
              <w:right w:w="28" w:type="dxa"/>
            </w:tcMar>
            <w:vAlign w:val="cente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£34,600</w:t>
            </w:r>
          </w:p>
        </w:tc>
        <w:tc>
          <w:tcPr>
            <w:tcW w:w="2494" w:type="dxa"/>
            <w:tcBorders>
              <w:left w:val="nil"/>
              <w:bottom w:val="single" w:sz="4" w:space="0" w:color="363636"/>
              <w:right w:val="nil"/>
            </w:tcBorders>
            <w:tcMar>
              <w:top w:w="0" w:type="dxa"/>
              <w:left w:w="0" w:type="dxa"/>
              <w:bottom w:w="113" w:type="dxa"/>
              <w:right w:w="28" w:type="dxa"/>
            </w:tcMar>
            <w:vAlign w:val="center"/>
            <w:hideMark/>
          </w:tcPr>
          <w:p w:rsidR="00401DB8" w:rsidRPr="00401DB8" w:rsidRDefault="00401DB8" w:rsidP="00401DB8">
            <w:pPr>
              <w:jc w:val="center"/>
              <w:cnfStyle w:val="000000100000" w:firstRow="0" w:lastRow="0" w:firstColumn="0" w:lastColumn="0" w:oddVBand="0" w:evenVBand="0" w:oddHBand="1" w:evenHBand="0" w:firstRowFirstColumn="0" w:firstRowLastColumn="0" w:lastRowFirstColumn="0" w:lastRowLastColumn="0"/>
              <w:rPr>
                <w:rFonts w:cs="Arial"/>
                <w:sz w:val="21"/>
                <w:szCs w:val="21"/>
                <w:lang w:eastAsia="en-GB"/>
              </w:rPr>
            </w:pPr>
            <w:r w:rsidRPr="00401DB8">
              <w:rPr>
                <w:rFonts w:cs="Arial"/>
                <w:sz w:val="21"/>
                <w:szCs w:val="21"/>
                <w:lang w:eastAsia="en-GB"/>
              </w:rPr>
              <w:t>£8,161,300</w:t>
            </w:r>
          </w:p>
        </w:tc>
      </w:tr>
    </w:tbl>
    <w:p w:rsidR="00401DB8" w:rsidRPr="00401DB8" w:rsidRDefault="009C63A7" w:rsidP="009B053E">
      <w:pPr>
        <w:spacing w:after="0" w:line="276" w:lineRule="auto"/>
        <w:jc w:val="center"/>
        <w:rPr>
          <w:rFonts w:ascii="Arial" w:eastAsia="Arial" w:hAnsi="Arial" w:cs="Arial"/>
          <w:i/>
          <w:color w:val="000000"/>
          <w:sz w:val="21"/>
          <w:szCs w:val="21"/>
          <w:lang w:val="en" w:eastAsia="en-GB"/>
        </w:rPr>
      </w:pPr>
      <w:r>
        <w:rPr>
          <w:rFonts w:ascii="Arial" w:eastAsia="Arial" w:hAnsi="Arial" w:cs="Arial"/>
          <w:i/>
          <w:color w:val="000000"/>
          <w:sz w:val="21"/>
          <w:szCs w:val="21"/>
          <w:lang w:val="en" w:eastAsia="en-GB"/>
        </w:rPr>
        <w:t>Figure 7</w:t>
      </w:r>
      <w:r w:rsidR="00401DB8" w:rsidRPr="00401DB8">
        <w:rPr>
          <w:rFonts w:ascii="Arial" w:eastAsia="Arial" w:hAnsi="Arial" w:cs="Arial"/>
          <w:i/>
          <w:color w:val="000000"/>
          <w:sz w:val="21"/>
          <w:szCs w:val="21"/>
          <w:lang w:val="en" w:eastAsia="en-GB"/>
        </w:rPr>
        <w:t>: indirect costs and savings from our combined recommendations (2023-2024 benefit rates).</w:t>
      </w:r>
    </w:p>
    <w:p w:rsidR="00401DB8" w:rsidRPr="000D182A" w:rsidRDefault="00401DB8" w:rsidP="00401DB8">
      <w:pPr>
        <w:spacing w:after="0" w:line="276" w:lineRule="auto"/>
        <w:rPr>
          <w:rFonts w:ascii="Arial" w:eastAsia="Arial" w:hAnsi="Arial" w:cs="Arial"/>
          <w:b/>
          <w:color w:val="000000"/>
          <w:sz w:val="21"/>
          <w:szCs w:val="21"/>
          <w:lang w:val="en" w:eastAsia="en-GB"/>
        </w:rPr>
      </w:pPr>
    </w:p>
    <w:p w:rsidR="006A5910" w:rsidRPr="000D182A" w:rsidRDefault="00401DB8" w:rsidP="009B053E">
      <w:pPr>
        <w:spacing w:after="0" w:line="276" w:lineRule="auto"/>
        <w:jc w:val="both"/>
        <w:rPr>
          <w:rFonts w:ascii="Arial" w:eastAsia="Arial" w:hAnsi="Arial" w:cs="Arial"/>
          <w:b/>
          <w:color w:val="000000"/>
          <w:sz w:val="24"/>
          <w:lang w:val="en" w:eastAsia="en-GB"/>
        </w:rPr>
      </w:pPr>
      <w:r w:rsidRPr="000D182A">
        <w:rPr>
          <w:rFonts w:ascii="Arial" w:eastAsia="Arial" w:hAnsi="Arial" w:cs="Arial"/>
          <w:b/>
          <w:color w:val="000000"/>
          <w:szCs w:val="21"/>
          <w:lang w:val="en" w:eastAsia="en-GB"/>
        </w:rPr>
        <w:t>Combining the direct benefits to the Treasury with the above additional savings produces significant net benefits for the Government, with our estimates showing total saving of £12,253,100 per year.</w:t>
      </w:r>
    </w:p>
    <w:p w:rsidR="009B053E" w:rsidRPr="009B053E" w:rsidRDefault="009B053E" w:rsidP="009B053E">
      <w:pPr>
        <w:spacing w:after="0" w:line="276" w:lineRule="auto"/>
        <w:jc w:val="both"/>
        <w:rPr>
          <w:rFonts w:ascii="Arial" w:eastAsia="Arial" w:hAnsi="Arial" w:cs="Arial"/>
          <w:color w:val="000000"/>
          <w:sz w:val="24"/>
          <w:lang w:val="en" w:eastAsia="en-GB"/>
        </w:rPr>
      </w:pPr>
    </w:p>
    <w:p w:rsidR="009B053E" w:rsidRDefault="009B053E" w:rsidP="009B053E">
      <w:pPr>
        <w:rPr>
          <w:rFonts w:ascii="Arial" w:eastAsia="Times New Roman" w:hAnsi="Arial" w:cs="Times New Roman"/>
          <w:b/>
          <w:color w:val="440099"/>
          <w:sz w:val="28"/>
          <w:szCs w:val="32"/>
          <w:lang w:val="en" w:eastAsia="en-GB"/>
        </w:rPr>
      </w:pPr>
      <w:r>
        <w:rPr>
          <w:rFonts w:ascii="Arial" w:eastAsia="Times New Roman" w:hAnsi="Arial" w:cs="Times New Roman"/>
          <w:b/>
          <w:color w:val="440099"/>
          <w:sz w:val="28"/>
          <w:szCs w:val="32"/>
          <w:lang w:val="en" w:eastAsia="en-GB"/>
        </w:rPr>
        <w:t>Conclusion</w:t>
      </w:r>
    </w:p>
    <w:p w:rsidR="009B053E" w:rsidRPr="007E33F6" w:rsidRDefault="009B053E" w:rsidP="007E33F6">
      <w:pPr>
        <w:jc w:val="both"/>
        <w:rPr>
          <w:rFonts w:ascii="Arial" w:hAnsi="Arial" w:cs="Arial"/>
          <w:szCs w:val="21"/>
        </w:rPr>
      </w:pPr>
      <w:r w:rsidRPr="009B053E">
        <w:rPr>
          <w:rFonts w:ascii="Arial" w:hAnsi="Arial" w:cs="Arial"/>
          <w:szCs w:val="21"/>
        </w:rPr>
        <w:t>Our policy recommendation</w:t>
      </w:r>
      <w:r w:rsidR="00E5658B">
        <w:rPr>
          <w:rFonts w:ascii="Arial" w:hAnsi="Arial" w:cs="Arial"/>
          <w:szCs w:val="21"/>
        </w:rPr>
        <w:t>s</w:t>
      </w:r>
      <w:r w:rsidRPr="009B053E">
        <w:rPr>
          <w:rFonts w:ascii="Arial" w:hAnsi="Arial" w:cs="Arial"/>
          <w:szCs w:val="21"/>
        </w:rPr>
        <w:t xml:space="preserve"> </w:t>
      </w:r>
      <w:r w:rsidR="000D182A">
        <w:rPr>
          <w:rFonts w:ascii="Arial" w:hAnsi="Arial" w:cs="Arial"/>
          <w:szCs w:val="21"/>
        </w:rPr>
        <w:t>increase</w:t>
      </w:r>
      <w:r w:rsidRPr="009B053E">
        <w:rPr>
          <w:rFonts w:ascii="Arial" w:hAnsi="Arial" w:cs="Arial"/>
          <w:szCs w:val="21"/>
        </w:rPr>
        <w:t xml:space="preserve"> the applicable amount (a taper-free work allo</w:t>
      </w:r>
      <w:r w:rsidR="007E33F6">
        <w:rPr>
          <w:rFonts w:ascii="Arial" w:hAnsi="Arial" w:cs="Arial"/>
          <w:szCs w:val="21"/>
        </w:rPr>
        <w:t>wance) for people claiming UC and HB and decrease the HB taper rate – aligning it with UC.  These policies would support young people living in supported accommodation to access work by enabling them to</w:t>
      </w:r>
      <w:r w:rsidRPr="009B053E">
        <w:rPr>
          <w:rFonts w:ascii="Arial" w:hAnsi="Arial" w:cs="Arial"/>
          <w:szCs w:val="21"/>
        </w:rPr>
        <w:t xml:space="preserve"> avoid the current</w:t>
      </w:r>
      <w:r w:rsidR="00EF522F">
        <w:rPr>
          <w:rFonts w:ascii="Arial" w:hAnsi="Arial" w:cs="Arial"/>
          <w:szCs w:val="21"/>
        </w:rPr>
        <w:t xml:space="preserve"> financial</w:t>
      </w:r>
      <w:r w:rsidRPr="009B053E">
        <w:rPr>
          <w:rFonts w:ascii="Arial" w:hAnsi="Arial" w:cs="Arial"/>
          <w:szCs w:val="21"/>
        </w:rPr>
        <w:t xml:space="preserve"> cliff-edge present when </w:t>
      </w:r>
      <w:r w:rsidR="00EF522F">
        <w:rPr>
          <w:rFonts w:ascii="Arial" w:hAnsi="Arial" w:cs="Arial"/>
          <w:szCs w:val="21"/>
        </w:rPr>
        <w:t>they enter employment, come off UC and begin losing their HB</w:t>
      </w:r>
      <w:bookmarkStart w:id="0" w:name="_GoBack"/>
      <w:bookmarkEnd w:id="0"/>
      <w:r w:rsidRPr="009B053E">
        <w:rPr>
          <w:rFonts w:ascii="Arial" w:hAnsi="Arial" w:cs="Arial"/>
          <w:szCs w:val="21"/>
        </w:rPr>
        <w:t xml:space="preserve">. </w:t>
      </w:r>
      <w:r w:rsidR="007E33F6">
        <w:rPr>
          <w:rFonts w:ascii="Arial" w:hAnsi="Arial" w:cs="Arial"/>
          <w:szCs w:val="21"/>
        </w:rPr>
        <w:t xml:space="preserve">Implementing these policies would </w:t>
      </w:r>
      <w:r w:rsidR="001F4995">
        <w:rPr>
          <w:rFonts w:ascii="Arial" w:hAnsi="Arial" w:cs="Arial"/>
          <w:szCs w:val="21"/>
        </w:rPr>
        <w:t>enable</w:t>
      </w:r>
      <w:r w:rsidR="007E33F6">
        <w:rPr>
          <w:rFonts w:ascii="Arial" w:hAnsi="Arial" w:cs="Arial"/>
          <w:szCs w:val="21"/>
        </w:rPr>
        <w:t xml:space="preserve"> the Government</w:t>
      </w:r>
      <w:r w:rsidRPr="009B053E">
        <w:rPr>
          <w:rFonts w:ascii="Arial" w:hAnsi="Arial" w:cs="Arial"/>
          <w:szCs w:val="21"/>
        </w:rPr>
        <w:t xml:space="preserve"> to </w:t>
      </w:r>
      <w:r w:rsidR="007E33F6">
        <w:rPr>
          <w:rFonts w:ascii="Arial" w:hAnsi="Arial" w:cs="Arial"/>
          <w:szCs w:val="21"/>
        </w:rPr>
        <w:t>make</w:t>
      </w:r>
      <w:r w:rsidRPr="009B053E">
        <w:rPr>
          <w:rFonts w:ascii="Arial" w:hAnsi="Arial" w:cs="Arial"/>
          <w:szCs w:val="21"/>
        </w:rPr>
        <w:t xml:space="preserve"> substantial savings, as claimants </w:t>
      </w:r>
      <w:r w:rsidR="007E33F6">
        <w:rPr>
          <w:rFonts w:ascii="Arial" w:hAnsi="Arial" w:cs="Arial"/>
          <w:szCs w:val="21"/>
        </w:rPr>
        <w:t>would be</w:t>
      </w:r>
      <w:r w:rsidRPr="009B053E">
        <w:rPr>
          <w:rFonts w:ascii="Arial" w:hAnsi="Arial" w:cs="Arial"/>
          <w:szCs w:val="21"/>
        </w:rPr>
        <w:t xml:space="preserve"> better rewarded for entering </w:t>
      </w:r>
      <w:r w:rsidRPr="009B053E">
        <w:rPr>
          <w:rFonts w:ascii="Arial" w:hAnsi="Arial" w:cs="Arial"/>
          <w:szCs w:val="21"/>
        </w:rPr>
        <w:lastRenderedPageBreak/>
        <w:t>employment</w:t>
      </w:r>
      <w:r w:rsidR="007E33F6">
        <w:rPr>
          <w:rFonts w:ascii="Arial" w:hAnsi="Arial" w:cs="Arial"/>
          <w:szCs w:val="21"/>
        </w:rPr>
        <w:t xml:space="preserve"> </w:t>
      </w:r>
      <w:r w:rsidR="001F4995">
        <w:rPr>
          <w:rFonts w:ascii="Arial" w:hAnsi="Arial" w:cs="Arial"/>
          <w:szCs w:val="21"/>
        </w:rPr>
        <w:t>– thereby reducing reliance on benefits</w:t>
      </w:r>
      <w:r w:rsidRPr="009B053E">
        <w:rPr>
          <w:rFonts w:ascii="Arial" w:hAnsi="Arial" w:cs="Arial"/>
          <w:szCs w:val="21"/>
        </w:rPr>
        <w:t>. Additionally, there are potential benefits for claimants’ mental and physical health.</w:t>
      </w:r>
    </w:p>
    <w:sectPr w:rsidR="009B053E" w:rsidRPr="007E3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8B" w:rsidRDefault="00E5658B" w:rsidP="00401DB8">
      <w:pPr>
        <w:spacing w:after="0" w:line="240" w:lineRule="auto"/>
      </w:pPr>
      <w:r>
        <w:separator/>
      </w:r>
    </w:p>
  </w:endnote>
  <w:endnote w:type="continuationSeparator" w:id="0">
    <w:p w:rsidR="00E5658B" w:rsidRDefault="00E5658B" w:rsidP="0040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8B" w:rsidRDefault="00E5658B" w:rsidP="00401DB8">
      <w:pPr>
        <w:spacing w:after="0" w:line="240" w:lineRule="auto"/>
      </w:pPr>
      <w:r>
        <w:separator/>
      </w:r>
    </w:p>
  </w:footnote>
  <w:footnote w:type="continuationSeparator" w:id="0">
    <w:p w:rsidR="00E5658B" w:rsidRDefault="00E5658B" w:rsidP="00401DB8">
      <w:pPr>
        <w:spacing w:after="0" w:line="240" w:lineRule="auto"/>
      </w:pPr>
      <w:r>
        <w:continuationSeparator/>
      </w:r>
    </w:p>
  </w:footnote>
  <w:footnote w:id="1">
    <w:p w:rsidR="00E5658B" w:rsidRDefault="00E5658B" w:rsidP="00401DB8">
      <w:pPr>
        <w:pStyle w:val="FootnoteText"/>
      </w:pPr>
      <w:r>
        <w:rPr>
          <w:rStyle w:val="FootnoteReference"/>
        </w:rPr>
        <w:footnoteRef/>
      </w:r>
      <w:r>
        <w:t xml:space="preserve"> </w:t>
      </w:r>
      <w:r w:rsidRPr="001D29DC">
        <w:rPr>
          <w:sz w:val="18"/>
        </w:rPr>
        <w:t>Nicolett</w:t>
      </w:r>
      <w:r>
        <w:rPr>
          <w:sz w:val="18"/>
        </w:rPr>
        <w:t>i, A.,</w:t>
      </w:r>
      <w:r w:rsidRPr="001D29DC">
        <w:rPr>
          <w:sz w:val="18"/>
        </w:rPr>
        <w:t xml:space="preserve"> 2023. Human Costs and Lost Potential: the real costs of youth homelessness. Centrepoint: London. Available at: https://centrepoint.org.uk/sites/default/files/2023-09/Cost%20of%20Youth%20Homelessness%20Research%20Report%20-%20Full%20report%202023.pdf</w:t>
      </w:r>
    </w:p>
  </w:footnote>
  <w:footnote w:id="2">
    <w:p w:rsidR="00E5658B" w:rsidRDefault="00E5658B">
      <w:pPr>
        <w:pStyle w:val="FootnoteText"/>
      </w:pPr>
      <w:r>
        <w:rPr>
          <w:rStyle w:val="FootnoteReference"/>
        </w:rPr>
        <w:footnoteRef/>
      </w:r>
      <w:r>
        <w:t xml:space="preserve"> The rate at which a benefit is reduced as earnings increase.</w:t>
      </w:r>
    </w:p>
  </w:footnote>
  <w:footnote w:id="3">
    <w:p w:rsidR="00E5658B" w:rsidRDefault="00E5658B">
      <w:pPr>
        <w:pStyle w:val="FootnoteText"/>
      </w:pPr>
      <w:r>
        <w:rPr>
          <w:rStyle w:val="FootnoteReference"/>
        </w:rPr>
        <w:footnoteRef/>
      </w:r>
      <w:r>
        <w:t xml:space="preserve"> By marginal effective tax rate, we refer to the percentage of additional income lost due to the impact of taxes and/or the reduction of benefits.</w:t>
      </w:r>
    </w:p>
  </w:footnote>
  <w:footnote w:id="4">
    <w:p w:rsidR="00E5658B" w:rsidRDefault="00E5658B" w:rsidP="00E5658B">
      <w:pPr>
        <w:pStyle w:val="FootnoteText"/>
      </w:pPr>
      <w:r>
        <w:rPr>
          <w:rStyle w:val="FootnoteReference"/>
        </w:rPr>
        <w:footnoteRef/>
      </w:r>
      <w:r>
        <w:t xml:space="preserve"> HB is a </w:t>
      </w:r>
      <w:proofErr w:type="spellStart"/>
      <w:r>
        <w:t>passported</w:t>
      </w:r>
      <w:proofErr w:type="spellEnd"/>
      <w:r>
        <w:t xml:space="preserve"> benefit, linked to UC. </w:t>
      </w:r>
      <w:proofErr w:type="spellStart"/>
      <w:r>
        <w:t>Passported</w:t>
      </w:r>
      <w:proofErr w:type="spellEnd"/>
      <w:r>
        <w:t xml:space="preserve"> benefits are benefits or schemes which some people are entitled to because of their entitlement to certain other benefits or Tax Credits.</w:t>
      </w:r>
    </w:p>
  </w:footnote>
  <w:footnote w:id="5">
    <w:p w:rsidR="00E5658B" w:rsidRPr="001D29DC" w:rsidRDefault="00E5658B" w:rsidP="00401DB8">
      <w:pPr>
        <w:pStyle w:val="FootnoteText"/>
        <w:jc w:val="both"/>
        <w:rPr>
          <w:sz w:val="18"/>
        </w:rPr>
      </w:pPr>
      <w:r w:rsidRPr="001D29DC">
        <w:rPr>
          <w:rStyle w:val="FootnoteReference"/>
          <w:sz w:val="18"/>
        </w:rPr>
        <w:footnoteRef/>
      </w:r>
      <w:r w:rsidRPr="001D29DC">
        <w:rPr>
          <w:sz w:val="18"/>
        </w:rPr>
        <w:t xml:space="preserve"> </w:t>
      </w:r>
      <w:r w:rsidRPr="001D29DC">
        <w:rPr>
          <w:sz w:val="18"/>
          <w:lang w:val="en"/>
        </w:rPr>
        <w:t>Webber, R., Hill, K. and Hirsch, D., 2023. Living or surviving? Benefits, barriers, and opportunities for young people transitioning out of homelessness. Loughborough University. Available at: https://www.wmca.org.uk/media/jq2f2iyv/living-or-surviving-report.pdf</w:t>
      </w:r>
    </w:p>
    <w:p w:rsidR="00E5658B" w:rsidRDefault="00E5658B" w:rsidP="00401DB8">
      <w:pPr>
        <w:pStyle w:val="FootnoteText"/>
      </w:pPr>
    </w:p>
  </w:footnote>
  <w:footnote w:id="6">
    <w:p w:rsidR="00E5658B" w:rsidRDefault="00E5658B" w:rsidP="009C63A7">
      <w:pPr>
        <w:pStyle w:val="FootnoteText"/>
      </w:pPr>
      <w:r>
        <w:rPr>
          <w:rStyle w:val="FootnoteReference"/>
        </w:rPr>
        <w:footnoteRef/>
      </w:r>
      <w:r>
        <w:t xml:space="preserve"> </w:t>
      </w:r>
      <w:r w:rsidRPr="001D29DC">
        <w:rPr>
          <w:sz w:val="18"/>
          <w:lang w:val="en"/>
        </w:rPr>
        <w:t>Cummins, C. and Glover, B., 2021. Bouncing back: boosting young people’s financial wellbeing after the pandemic. Demos. London. Available at: https://demos.co.uk/wp-content/uploads/2021/10/Bouncing-Back.pdf</w:t>
      </w:r>
    </w:p>
  </w:footnote>
  <w:footnote w:id="7">
    <w:p w:rsidR="00E5658B" w:rsidRPr="001D29DC" w:rsidRDefault="00E5658B" w:rsidP="00401DB8">
      <w:pPr>
        <w:pStyle w:val="FootnoteText"/>
        <w:rPr>
          <w:sz w:val="18"/>
        </w:rPr>
      </w:pPr>
      <w:r>
        <w:rPr>
          <w:rStyle w:val="FootnoteReference"/>
        </w:rPr>
        <w:footnoteRef/>
      </w:r>
      <w:r>
        <w:t xml:space="preserve"> </w:t>
      </w:r>
      <w:r w:rsidRPr="001D29DC">
        <w:rPr>
          <w:sz w:val="18"/>
        </w:rPr>
        <w:t xml:space="preserve">Taylor. F., 2024. Untapped Resource: Homeless young people’s employment experiences and aspirations. Centrepoint: London. Available at: https://centrepoint.org.uk/sites/default/files/2024-06/D436%20Employment%20Research%20Full%20Report%20A4%20V6%20DIGITAL%20SINGLES.pdf </w:t>
      </w:r>
    </w:p>
  </w:footnote>
  <w:footnote w:id="8">
    <w:p w:rsidR="00E5658B" w:rsidRPr="001D29DC" w:rsidRDefault="00E5658B" w:rsidP="00401DB8">
      <w:pPr>
        <w:pStyle w:val="FootnoteText"/>
        <w:rPr>
          <w:sz w:val="18"/>
        </w:rPr>
      </w:pPr>
      <w:r w:rsidRPr="001D29DC">
        <w:rPr>
          <w:rStyle w:val="FootnoteReference"/>
          <w:sz w:val="18"/>
        </w:rPr>
        <w:footnoteRef/>
      </w:r>
      <w:r w:rsidRPr="001D29DC">
        <w:rPr>
          <w:sz w:val="18"/>
        </w:rPr>
        <w:t xml:space="preserve"> Ahmed, M., et al. Benefits to Society: Homeless Young People's Experiences of the Social </w:t>
      </w:r>
    </w:p>
    <w:p w:rsidR="00E5658B" w:rsidRDefault="00E5658B" w:rsidP="00401DB8">
      <w:pPr>
        <w:pStyle w:val="FootnoteText"/>
      </w:pPr>
      <w:r w:rsidRPr="001D29DC">
        <w:rPr>
          <w:sz w:val="18"/>
        </w:rPr>
        <w:t>Security System. Centrepoint: London. Available at: https://centrepoint.org.uk/sites/default/files/2023-06/Benefits-to-Society-uc-report.pdf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423"/>
    <w:multiLevelType w:val="hybridMultilevel"/>
    <w:tmpl w:val="421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B8"/>
    <w:rsid w:val="000D182A"/>
    <w:rsid w:val="001F4995"/>
    <w:rsid w:val="00401DB8"/>
    <w:rsid w:val="006A5910"/>
    <w:rsid w:val="007E33F6"/>
    <w:rsid w:val="008B0960"/>
    <w:rsid w:val="009A6CA5"/>
    <w:rsid w:val="009B053E"/>
    <w:rsid w:val="009C63A7"/>
    <w:rsid w:val="00AE17C6"/>
    <w:rsid w:val="00E5658B"/>
    <w:rsid w:val="00E56EB8"/>
    <w:rsid w:val="00EA149E"/>
    <w:rsid w:val="00EF5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699A"/>
  <w15:chartTrackingRefBased/>
  <w15:docId w15:val="{EF8B0297-2ECA-40F3-802F-3A32951F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Briefing">
    <w:name w:val="Table_Briefing"/>
    <w:basedOn w:val="TableNormal"/>
    <w:uiPriority w:val="99"/>
    <w:semiHidden/>
    <w:locked/>
    <w:rsid w:val="00401DB8"/>
    <w:pPr>
      <w:spacing w:before="100" w:beforeAutospacing="1" w:after="100" w:afterAutospacing="1" w:line="240" w:lineRule="exact"/>
      <w:jc w:val="right"/>
    </w:pPr>
    <w:rPr>
      <w:rFonts w:ascii="Arial" w:eastAsia="Times New Roman" w:hAnsi="Arial" w:cs="Times New Roman"/>
      <w:color w:val="000000"/>
      <w:sz w:val="18"/>
      <w:szCs w:val="18"/>
      <w:lang w:val="en" w:eastAsia="ja-JP"/>
    </w:rPr>
    <w:tblPr>
      <w:tblStyleRowBandSize w:val="1"/>
      <w:tblStyleColBandSize w:val="1"/>
      <w:tblInd w:w="0" w:type="nil"/>
      <w:tblBorders>
        <w:bottom w:val="single" w:sz="4" w:space="0" w:color="363636"/>
        <w:insideH w:val="single" w:sz="4" w:space="0" w:color="363636"/>
      </w:tblBorders>
      <w:tblCellMar>
        <w:left w:w="0" w:type="dxa"/>
        <w:right w:w="28" w:type="dxa"/>
      </w:tblCellMar>
    </w:tblPr>
    <w:tblStylePr w:type="firstRow">
      <w:pPr>
        <w:wordWrap/>
        <w:spacing w:line="200" w:lineRule="exact"/>
      </w:pPr>
      <w:rPr>
        <w:rFonts w:ascii="Cambria" w:hAnsi="Cambria" w:hint="default"/>
        <w:b w:val="0"/>
        <w:i w:val="0"/>
        <w:color w:val="000000"/>
        <w:sz w:val="18"/>
        <w:szCs w:val="18"/>
      </w:rPr>
      <w:tblPr/>
      <w:tcPr>
        <w:tcBorders>
          <w:top w:val="single" w:sz="12" w:space="0" w:color="363636"/>
        </w:tcBorders>
      </w:tcPr>
    </w:tblStylePr>
    <w:tblStylePr w:type="lastRow">
      <w:rPr>
        <w:sz w:val="18"/>
        <w:szCs w:val="18"/>
      </w:rPr>
      <w:tblPr/>
      <w:tcPr>
        <w:tcBorders>
          <w:bottom w:val="nil"/>
        </w:tcBorders>
      </w:tcPr>
    </w:tblStylePr>
    <w:tblStylePr w:type="firstCol">
      <w:pPr>
        <w:wordWrap/>
        <w:jc w:val="left"/>
      </w:pPr>
      <w:rPr>
        <w:sz w:val="18"/>
        <w:szCs w:val="18"/>
      </w:rPr>
    </w:tblStylePr>
    <w:tblStylePr w:type="lastCol">
      <w:rPr>
        <w:sz w:val="18"/>
        <w:szCs w:val="18"/>
      </w:rPr>
    </w:tblStylePr>
    <w:tblStylePr w:type="band1Vert">
      <w:rPr>
        <w:sz w:val="18"/>
        <w:szCs w:val="18"/>
      </w:rPr>
    </w:tblStylePr>
    <w:tblStylePr w:type="band2Vert">
      <w:rPr>
        <w:sz w:val="18"/>
        <w:szCs w:val="18"/>
      </w:rPr>
    </w:tblStylePr>
    <w:tblStylePr w:type="band1Horz">
      <w:rPr>
        <w:sz w:val="18"/>
        <w:szCs w:val="18"/>
      </w:rPr>
      <w:tblPr/>
      <w:tcPr>
        <w:tcBorders>
          <w:top w:val="nil"/>
        </w:tcBorders>
      </w:tcPr>
    </w:tblStylePr>
    <w:tblStylePr w:type="band2Horz">
      <w:rPr>
        <w:sz w:val="18"/>
        <w:szCs w:val="18"/>
      </w:rPr>
    </w:tblStylePr>
  </w:style>
  <w:style w:type="table" w:styleId="TableGrid">
    <w:name w:val="Table Grid"/>
    <w:basedOn w:val="TableNormal"/>
    <w:uiPriority w:val="39"/>
    <w:rsid w:val="00401DB8"/>
    <w:pPr>
      <w:spacing w:after="0" w:line="240" w:lineRule="auto"/>
    </w:pPr>
    <w:rPr>
      <w:rFonts w:eastAsiaTheme="minorEastAsia"/>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1D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DB8"/>
    <w:rPr>
      <w:sz w:val="20"/>
      <w:szCs w:val="20"/>
    </w:rPr>
  </w:style>
  <w:style w:type="character" w:styleId="FootnoteReference">
    <w:name w:val="footnote reference"/>
    <w:basedOn w:val="DefaultParagraphFont"/>
    <w:uiPriority w:val="99"/>
    <w:semiHidden/>
    <w:unhideWhenUsed/>
    <w:rsid w:val="00401DB8"/>
    <w:rPr>
      <w:vertAlign w:val="superscript"/>
    </w:rPr>
  </w:style>
  <w:style w:type="paragraph" w:styleId="Header">
    <w:name w:val="header"/>
    <w:basedOn w:val="Normal"/>
    <w:link w:val="HeaderChar"/>
    <w:uiPriority w:val="99"/>
    <w:unhideWhenUsed/>
    <w:rsid w:val="007E3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3F6"/>
  </w:style>
  <w:style w:type="paragraph" w:styleId="Footer">
    <w:name w:val="footer"/>
    <w:basedOn w:val="Normal"/>
    <w:link w:val="FooterChar"/>
    <w:uiPriority w:val="99"/>
    <w:unhideWhenUsed/>
    <w:rsid w:val="007E3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3F6"/>
  </w:style>
  <w:style w:type="paragraph" w:styleId="ListParagraph">
    <w:name w:val="List Paragraph"/>
    <w:basedOn w:val="Normal"/>
    <w:uiPriority w:val="34"/>
    <w:qFormat/>
    <w:rsid w:val="001F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90884">
      <w:bodyDiv w:val="1"/>
      <w:marLeft w:val="0"/>
      <w:marRight w:val="0"/>
      <w:marTop w:val="0"/>
      <w:marBottom w:val="0"/>
      <w:divBdr>
        <w:top w:val="none" w:sz="0" w:space="0" w:color="auto"/>
        <w:left w:val="none" w:sz="0" w:space="0" w:color="auto"/>
        <w:bottom w:val="none" w:sz="0" w:space="0" w:color="auto"/>
        <w:right w:val="none" w:sz="0" w:space="0" w:color="auto"/>
      </w:divBdr>
    </w:div>
    <w:div w:id="434716747">
      <w:bodyDiv w:val="1"/>
      <w:marLeft w:val="0"/>
      <w:marRight w:val="0"/>
      <w:marTop w:val="0"/>
      <w:marBottom w:val="0"/>
      <w:divBdr>
        <w:top w:val="none" w:sz="0" w:space="0" w:color="auto"/>
        <w:left w:val="none" w:sz="0" w:space="0" w:color="auto"/>
        <w:bottom w:val="none" w:sz="0" w:space="0" w:color="auto"/>
        <w:right w:val="none" w:sz="0" w:space="0" w:color="auto"/>
      </w:divBdr>
    </w:div>
    <w:div w:id="11868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 of increasing hours worked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Private rented sector</c:v>
          </c:tx>
          <c:spPr>
            <a:ln w="28575" cap="rnd">
              <a:solidFill>
                <a:schemeClr val="accent2"/>
              </a:solidFill>
              <a:round/>
            </a:ln>
            <a:effectLst/>
          </c:spPr>
          <c:marker>
            <c:symbol val="none"/>
          </c:marker>
          <c:cat>
            <c:numRef>
              <c:f>'Lambeth 21-22'!$A$11:$A$23</c:f>
              <c:numCache>
                <c:formatCode>General</c:formatCode>
                <c:ptCount val="13"/>
                <c:pt idx="0">
                  <c:v>10</c:v>
                </c:pt>
                <c:pt idx="1">
                  <c:v>11</c:v>
                </c:pt>
                <c:pt idx="2">
                  <c:v>12</c:v>
                </c:pt>
                <c:pt idx="3">
                  <c:v>13</c:v>
                </c:pt>
                <c:pt idx="4">
                  <c:v>14</c:v>
                </c:pt>
                <c:pt idx="5">
                  <c:v>15</c:v>
                </c:pt>
                <c:pt idx="6">
                  <c:v>16</c:v>
                </c:pt>
                <c:pt idx="7">
                  <c:v>17</c:v>
                </c:pt>
                <c:pt idx="8">
                  <c:v>18</c:v>
                </c:pt>
                <c:pt idx="9">
                  <c:v>19</c:v>
                </c:pt>
                <c:pt idx="10">
                  <c:v>20</c:v>
                </c:pt>
                <c:pt idx="11">
                  <c:v>21</c:v>
                </c:pt>
                <c:pt idx="12">
                  <c:v>22</c:v>
                </c:pt>
              </c:numCache>
            </c:numRef>
          </c:cat>
          <c:val>
            <c:numRef>
              <c:f>'Lambeth 21-22'!$W$11:$W$23</c:f>
              <c:numCache>
                <c:formatCode>General</c:formatCode>
                <c:ptCount val="13"/>
                <c:pt idx="0">
                  <c:v>223.07999999999993</c:v>
                </c:pt>
                <c:pt idx="1">
                  <c:v>245.38799999999992</c:v>
                </c:pt>
                <c:pt idx="2">
                  <c:v>267.69600000000014</c:v>
                </c:pt>
                <c:pt idx="3">
                  <c:v>290.00400000000013</c:v>
                </c:pt>
                <c:pt idx="4">
                  <c:v>312.3119999999999</c:v>
                </c:pt>
                <c:pt idx="5">
                  <c:v>334.61999999999989</c:v>
                </c:pt>
                <c:pt idx="6">
                  <c:v>356.92799999999988</c:v>
                </c:pt>
                <c:pt idx="7">
                  <c:v>379.23599999999988</c:v>
                </c:pt>
                <c:pt idx="8">
                  <c:v>401.5440000000001</c:v>
                </c:pt>
                <c:pt idx="9">
                  <c:v>423.85200000000009</c:v>
                </c:pt>
                <c:pt idx="10">
                  <c:v>446.16000000000008</c:v>
                </c:pt>
                <c:pt idx="11">
                  <c:v>468.46800000000007</c:v>
                </c:pt>
                <c:pt idx="12">
                  <c:v>485.34371999999985</c:v>
                </c:pt>
              </c:numCache>
            </c:numRef>
          </c:val>
          <c:smooth val="0"/>
          <c:extLst>
            <c:ext xmlns:c16="http://schemas.microsoft.com/office/drawing/2014/chart" uri="{C3380CC4-5D6E-409C-BE32-E72D297353CC}">
              <c16:uniqueId val="{00000000-081B-4CFD-8F47-069C718ED886}"/>
            </c:ext>
          </c:extLst>
        </c:ser>
        <c:ser>
          <c:idx val="2"/>
          <c:order val="1"/>
          <c:tx>
            <c:v>Supported housing</c:v>
          </c:tx>
          <c:spPr>
            <a:ln w="28575" cap="rnd">
              <a:solidFill>
                <a:schemeClr val="accent3"/>
              </a:solidFill>
              <a:round/>
            </a:ln>
            <a:effectLst/>
          </c:spPr>
          <c:marker>
            <c:symbol val="none"/>
          </c:marker>
          <c:cat>
            <c:numRef>
              <c:f>'Lambeth 21-22'!$A$11:$A$23</c:f>
              <c:numCache>
                <c:formatCode>General</c:formatCode>
                <c:ptCount val="13"/>
                <c:pt idx="0">
                  <c:v>10</c:v>
                </c:pt>
                <c:pt idx="1">
                  <c:v>11</c:v>
                </c:pt>
                <c:pt idx="2">
                  <c:v>12</c:v>
                </c:pt>
                <c:pt idx="3">
                  <c:v>13</c:v>
                </c:pt>
                <c:pt idx="4">
                  <c:v>14</c:v>
                </c:pt>
                <c:pt idx="5">
                  <c:v>15</c:v>
                </c:pt>
                <c:pt idx="6">
                  <c:v>16</c:v>
                </c:pt>
                <c:pt idx="7">
                  <c:v>17</c:v>
                </c:pt>
                <c:pt idx="8">
                  <c:v>18</c:v>
                </c:pt>
                <c:pt idx="9">
                  <c:v>19</c:v>
                </c:pt>
                <c:pt idx="10">
                  <c:v>20</c:v>
                </c:pt>
                <c:pt idx="11">
                  <c:v>21</c:v>
                </c:pt>
                <c:pt idx="12">
                  <c:v>22</c:v>
                </c:pt>
              </c:numCache>
            </c:numRef>
          </c:cat>
          <c:val>
            <c:numRef>
              <c:f>'Lambeth 21-22'!$Q$11:$Q$24</c:f>
              <c:numCache>
                <c:formatCode>0.00</c:formatCode>
                <c:ptCount val="14"/>
                <c:pt idx="0">
                  <c:v>223.07999999999993</c:v>
                </c:pt>
                <c:pt idx="1">
                  <c:v>245.38799999999992</c:v>
                </c:pt>
                <c:pt idx="2">
                  <c:v>117.81659999999965</c:v>
                </c:pt>
                <c:pt idx="3">
                  <c:v>136.1587333333332</c:v>
                </c:pt>
                <c:pt idx="4">
                  <c:v>154.50086666666652</c:v>
                </c:pt>
                <c:pt idx="5">
                  <c:v>172.84299999999985</c:v>
                </c:pt>
                <c:pt idx="6">
                  <c:v>191.1851333333334</c:v>
                </c:pt>
                <c:pt idx="7">
                  <c:v>209.52726666666649</c:v>
                </c:pt>
                <c:pt idx="8">
                  <c:v>227.86939999999981</c:v>
                </c:pt>
                <c:pt idx="9">
                  <c:v>246.21153333333336</c:v>
                </c:pt>
                <c:pt idx="10">
                  <c:v>264.55366666666669</c:v>
                </c:pt>
                <c:pt idx="11">
                  <c:v>282.89579999999978</c:v>
                </c:pt>
                <c:pt idx="12">
                  <c:v>296.77139199999965</c:v>
                </c:pt>
                <c:pt idx="13">
                  <c:v>309.97772799999984</c:v>
                </c:pt>
              </c:numCache>
            </c:numRef>
          </c:val>
          <c:smooth val="0"/>
          <c:extLst>
            <c:ext xmlns:c16="http://schemas.microsoft.com/office/drawing/2014/chart" uri="{C3380CC4-5D6E-409C-BE32-E72D297353CC}">
              <c16:uniqueId val="{00000001-081B-4CFD-8F47-069C718ED886}"/>
            </c:ext>
          </c:extLst>
        </c:ser>
        <c:ser>
          <c:idx val="0"/>
          <c:order val="2"/>
          <c:tx>
            <c:v>Subsidy+'Lambeth 21-22'!$U$9:$U$19</c:v>
          </c:tx>
          <c:spPr>
            <a:ln w="28575" cap="rnd">
              <a:solidFill>
                <a:schemeClr val="accent1"/>
              </a:solidFill>
              <a:round/>
            </a:ln>
            <a:effectLst/>
          </c:spPr>
          <c:marker>
            <c:symbol val="none"/>
          </c:marker>
          <c:cat>
            <c:numRef>
              <c:f>'Lambeth 21-22'!$A$11:$A$23</c:f>
              <c:numCache>
                <c:formatCode>General</c:formatCode>
                <c:ptCount val="13"/>
                <c:pt idx="0">
                  <c:v>10</c:v>
                </c:pt>
                <c:pt idx="1">
                  <c:v>11</c:v>
                </c:pt>
                <c:pt idx="2">
                  <c:v>12</c:v>
                </c:pt>
                <c:pt idx="3">
                  <c:v>13</c:v>
                </c:pt>
                <c:pt idx="4">
                  <c:v>14</c:v>
                </c:pt>
                <c:pt idx="5">
                  <c:v>15</c:v>
                </c:pt>
                <c:pt idx="6">
                  <c:v>16</c:v>
                </c:pt>
                <c:pt idx="7">
                  <c:v>17</c:v>
                </c:pt>
                <c:pt idx="8">
                  <c:v>18</c:v>
                </c:pt>
                <c:pt idx="9">
                  <c:v>19</c:v>
                </c:pt>
                <c:pt idx="10">
                  <c:v>20</c:v>
                </c:pt>
                <c:pt idx="11">
                  <c:v>21</c:v>
                </c:pt>
                <c:pt idx="12">
                  <c:v>22</c:v>
                </c:pt>
              </c:numCache>
            </c:numRef>
          </c:cat>
          <c:val>
            <c:numRef>
              <c:f>'Lambeth 21-22'!#REF!</c:f>
              <c:numCache>
                <c:formatCode>General</c:formatCode>
                <c:ptCount val="1"/>
                <c:pt idx="0">
                  <c:v>1</c:v>
                </c:pt>
              </c:numCache>
              <c:extLst/>
            </c:numRef>
          </c:val>
          <c:smooth val="0"/>
          <c:extLst>
            <c:ext xmlns:c16="http://schemas.microsoft.com/office/drawing/2014/chart" uri="{C3380CC4-5D6E-409C-BE32-E72D297353CC}">
              <c16:uniqueId val="{00000002-081B-4CFD-8F47-069C718ED886}"/>
            </c:ext>
          </c:extLst>
        </c:ser>
        <c:dLbls>
          <c:showLegendKey val="0"/>
          <c:showVal val="0"/>
          <c:showCatName val="0"/>
          <c:showSerName val="0"/>
          <c:showPercent val="0"/>
          <c:showBubbleSize val="0"/>
        </c:dLbls>
        <c:smooth val="0"/>
        <c:axId val="301699816"/>
        <c:axId val="301710640"/>
      </c:lineChart>
      <c:catAx>
        <c:axId val="301699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 Worked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10640"/>
        <c:crosses val="autoZero"/>
        <c:auto val="1"/>
        <c:lblAlgn val="ctr"/>
        <c:lblOffset val="100"/>
        <c:noMultiLvlLbl val="0"/>
      </c:catAx>
      <c:valAx>
        <c:axId val="30171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How much better</a:t>
                </a:r>
                <a:r>
                  <a:rPr lang="en-GB" baseline="0"/>
                  <a:t> off in work than benefits (£) ?</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69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 of increasing hours worked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Private rented sector</c:v>
          </c:tx>
          <c:spPr>
            <a:ln w="28575" cap="rnd">
              <a:solidFill>
                <a:schemeClr val="accent2"/>
              </a:solidFill>
              <a:round/>
            </a:ln>
            <a:effectLst/>
          </c:spPr>
          <c:marker>
            <c:symbol val="none"/>
          </c:marker>
          <c:cat>
            <c:numRef>
              <c:f>'Lambeth 21-22'!$A$11:$A$36</c:f>
              <c:numCache>
                <c:formatCode>General</c:formatCode>
                <c:ptCount val="26"/>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numCache>
            </c:numRef>
          </c:cat>
          <c:val>
            <c:numRef>
              <c:f>'21+ with policy recommendations'!$W$11:$W$23</c:f>
              <c:numCache>
                <c:formatCode>General</c:formatCode>
                <c:ptCount val="13"/>
                <c:pt idx="0">
                  <c:v>223.07999999999993</c:v>
                </c:pt>
                <c:pt idx="1">
                  <c:v>245.38799999999992</c:v>
                </c:pt>
                <c:pt idx="2">
                  <c:v>267.69600000000014</c:v>
                </c:pt>
                <c:pt idx="3">
                  <c:v>290.00400000000013</c:v>
                </c:pt>
                <c:pt idx="4">
                  <c:v>312.3119999999999</c:v>
                </c:pt>
                <c:pt idx="5">
                  <c:v>334.61999999999989</c:v>
                </c:pt>
                <c:pt idx="6">
                  <c:v>356.92799999999988</c:v>
                </c:pt>
                <c:pt idx="7">
                  <c:v>379.23599999999988</c:v>
                </c:pt>
                <c:pt idx="8">
                  <c:v>401.5440000000001</c:v>
                </c:pt>
                <c:pt idx="9">
                  <c:v>423.85200000000009</c:v>
                </c:pt>
                <c:pt idx="10">
                  <c:v>446.16000000000008</c:v>
                </c:pt>
                <c:pt idx="11">
                  <c:v>468.46800000000007</c:v>
                </c:pt>
                <c:pt idx="12">
                  <c:v>485.34371999999985</c:v>
                </c:pt>
              </c:numCache>
            </c:numRef>
          </c:val>
          <c:smooth val="0"/>
          <c:extLst>
            <c:ext xmlns:c16="http://schemas.microsoft.com/office/drawing/2014/chart" uri="{C3380CC4-5D6E-409C-BE32-E72D297353CC}">
              <c16:uniqueId val="{00000000-F95E-4FCA-A22F-D8FCB4B687F8}"/>
            </c:ext>
          </c:extLst>
        </c:ser>
        <c:ser>
          <c:idx val="2"/>
          <c:order val="1"/>
          <c:tx>
            <c:v>Supported housing</c:v>
          </c:tx>
          <c:spPr>
            <a:ln w="28575" cap="rnd">
              <a:solidFill>
                <a:schemeClr val="accent3"/>
              </a:solidFill>
              <a:round/>
            </a:ln>
            <a:effectLst/>
          </c:spPr>
          <c:marker>
            <c:symbol val="none"/>
          </c:marker>
          <c:cat>
            <c:numRef>
              <c:f>'Lambeth 21-22'!$A$11:$A$36</c:f>
              <c:numCache>
                <c:formatCode>General</c:formatCode>
                <c:ptCount val="26"/>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numCache>
            </c:numRef>
          </c:cat>
          <c:val>
            <c:numRef>
              <c:f>'21+ with policy recommendations'!$Q$11:$Q$23</c:f>
              <c:numCache>
                <c:formatCode>0.00</c:formatCode>
                <c:ptCount val="13"/>
                <c:pt idx="0">
                  <c:v>180.28133333333335</c:v>
                </c:pt>
                <c:pt idx="1">
                  <c:v>202.58933333333334</c:v>
                </c:pt>
                <c:pt idx="2">
                  <c:v>223.58453333333318</c:v>
                </c:pt>
                <c:pt idx="3">
                  <c:v>246.73146666666662</c:v>
                </c:pt>
                <c:pt idx="4">
                  <c:v>269.87839999999983</c:v>
                </c:pt>
                <c:pt idx="5">
                  <c:v>293.02533333333326</c:v>
                </c:pt>
                <c:pt idx="6">
                  <c:v>316.17226666666647</c:v>
                </c:pt>
                <c:pt idx="7">
                  <c:v>339.31919999999991</c:v>
                </c:pt>
                <c:pt idx="8">
                  <c:v>362.46613333333335</c:v>
                </c:pt>
                <c:pt idx="9">
                  <c:v>385.61306666666678</c:v>
                </c:pt>
                <c:pt idx="10">
                  <c:v>408.76000000000022</c:v>
                </c:pt>
                <c:pt idx="11">
                  <c:v>431.9069333333332</c:v>
                </c:pt>
                <c:pt idx="12">
                  <c:v>449.41729579487173</c:v>
                </c:pt>
              </c:numCache>
            </c:numRef>
          </c:val>
          <c:smooth val="0"/>
          <c:extLst>
            <c:ext xmlns:c16="http://schemas.microsoft.com/office/drawing/2014/chart" uri="{C3380CC4-5D6E-409C-BE32-E72D297353CC}">
              <c16:uniqueId val="{00000001-F95E-4FCA-A22F-D8FCB4B687F8}"/>
            </c:ext>
          </c:extLst>
        </c:ser>
        <c:dLbls>
          <c:showLegendKey val="0"/>
          <c:showVal val="0"/>
          <c:showCatName val="0"/>
          <c:showSerName val="0"/>
          <c:showPercent val="0"/>
          <c:showBubbleSize val="0"/>
        </c:dLbls>
        <c:smooth val="0"/>
        <c:axId val="301699816"/>
        <c:axId val="301710640"/>
      </c:lineChart>
      <c:catAx>
        <c:axId val="301699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 Worked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10640"/>
        <c:crosses val="autoZero"/>
        <c:auto val="1"/>
        <c:lblAlgn val="ctr"/>
        <c:lblOffset val="100"/>
        <c:noMultiLvlLbl val="0"/>
      </c:catAx>
      <c:valAx>
        <c:axId val="30171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How much better off in work than</a:t>
                </a:r>
                <a:r>
                  <a:rPr lang="en-US" baseline="0"/>
                  <a:t> benefits</a:t>
                </a:r>
                <a:r>
                  <a:rPr lang="en-US"/>
                  <a:t> (£)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69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8">
    <a:dk1>
      <a:srgbClr val="1D1D1B"/>
    </a:dk1>
    <a:lt1>
      <a:sysClr val="window" lastClr="FFFFFF"/>
    </a:lt1>
    <a:dk2>
      <a:srgbClr val="440099"/>
    </a:dk2>
    <a:lt2>
      <a:srgbClr val="695BD3"/>
    </a:lt2>
    <a:accent1>
      <a:srgbClr val="EA560D"/>
    </a:accent1>
    <a:accent2>
      <a:srgbClr val="F8E600"/>
    </a:accent2>
    <a:accent3>
      <a:srgbClr val="440099"/>
    </a:accent3>
    <a:accent4>
      <a:srgbClr val="695BD3"/>
    </a:accent4>
    <a:accent5>
      <a:srgbClr val="D14402"/>
    </a:accent5>
    <a:accent6>
      <a:srgbClr val="F8E600"/>
    </a:accent6>
    <a:hlink>
      <a:srgbClr val="695BD3"/>
    </a:hlink>
    <a:folHlink>
      <a:srgbClr val="44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B993-4915-4E21-99EC-A8A84790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Centrepoint SOHO</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Kerridge</dc:creator>
  <cp:keywords/>
  <dc:description/>
  <cp:lastModifiedBy>Tom Kerridge</cp:lastModifiedBy>
  <cp:revision>5</cp:revision>
  <dcterms:created xsi:type="dcterms:W3CDTF">2024-09-24T08:41:00Z</dcterms:created>
  <dcterms:modified xsi:type="dcterms:W3CDTF">2024-09-25T10:21:00Z</dcterms:modified>
</cp:coreProperties>
</file>